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2A67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附件2：</w:t>
      </w:r>
      <w:bookmarkStart w:id="0" w:name="_GoBack"/>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优秀法律论文获奖名单（26篇）</w:t>
      </w:r>
      <w:bookmarkEnd w:id="0"/>
    </w:p>
    <w:p w14:paraId="118820DB">
      <w:pPr>
        <w:keepNext w:val="0"/>
        <w:keepLines w:val="0"/>
        <w:pageBreakBefore w:val="0"/>
        <w:kinsoku/>
        <w:wordWrap/>
        <w:overflowPunct/>
        <w:topLinePunct w:val="0"/>
        <w:autoSpaceDE/>
        <w:autoSpaceDN/>
        <w:bidi w:val="0"/>
        <w:adjustRightInd/>
        <w:snapToGrid/>
        <w:spacing w:line="560" w:lineRule="exact"/>
        <w:ind w:firstLine="3534" w:firstLineChars="1100"/>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14:paraId="646E8AF3">
      <w:pPr>
        <w:keepNext w:val="0"/>
        <w:keepLines w:val="0"/>
        <w:pageBreakBefore w:val="0"/>
        <w:widowControl w:val="0"/>
        <w:kinsoku/>
        <w:wordWrap/>
        <w:overflowPunct/>
        <w:topLinePunct w:val="0"/>
        <w:autoSpaceDE/>
        <w:autoSpaceDN/>
        <w:bidi w:val="0"/>
        <w:adjustRightInd/>
        <w:snapToGrid/>
        <w:spacing w:line="560" w:lineRule="exact"/>
        <w:ind w:firstLine="3534" w:firstLineChars="1100"/>
        <w:jc w:val="both"/>
        <w:textAlignment w:val="auto"/>
        <w:rPr>
          <w:rFonts w:hint="eastAsia" w:ascii="黑体" w:hAnsi="黑体" w:eastAsia="黑体" w:cs="黑体"/>
          <w:b/>
          <w:bCs/>
          <w:color w:val="000000" w:themeColor="text1"/>
          <w:sz w:val="32"/>
          <w:szCs w:val="32"/>
          <w:highlight w:val="none"/>
          <w:lang w:eastAsia="zh-CN"/>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一等奖</w:t>
      </w:r>
      <w:r>
        <w:rPr>
          <w:rFonts w:hint="eastAsia" w:ascii="黑体" w:hAnsi="黑体" w:eastAsia="黑体" w:cs="黑体"/>
          <w:b/>
          <w:bCs/>
          <w:color w:val="000000" w:themeColor="text1"/>
          <w:sz w:val="32"/>
          <w:szCs w:val="32"/>
          <w:highlight w:val="none"/>
          <w:lang w:eastAsia="zh-CN"/>
          <w14:textFill>
            <w14:solidFill>
              <w14:schemeClr w14:val="tx1"/>
            </w14:solidFill>
          </w14:textFill>
        </w:rPr>
        <w:t>（</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5篇</w:t>
      </w:r>
      <w:r>
        <w:rPr>
          <w:rFonts w:hint="eastAsia" w:ascii="黑体" w:hAnsi="黑体" w:eastAsia="黑体" w:cs="黑体"/>
          <w:b/>
          <w:bCs/>
          <w:color w:val="000000" w:themeColor="text1"/>
          <w:sz w:val="32"/>
          <w:szCs w:val="32"/>
          <w:highlight w:val="none"/>
          <w:lang w:eastAsia="zh-CN"/>
          <w14:textFill>
            <w14:solidFill>
              <w14:schemeClr w14:val="tx1"/>
            </w14:solidFill>
          </w14:textFill>
        </w:rPr>
        <w:t>）</w:t>
      </w:r>
    </w:p>
    <w:p w14:paraId="51E4976D">
      <w:pPr>
        <w:keepNext w:val="0"/>
        <w:keepLines w:val="0"/>
        <w:pageBreakBefore w:val="0"/>
        <w:widowControl w:val="0"/>
        <w:kinsoku/>
        <w:wordWrap/>
        <w:overflowPunct/>
        <w:topLinePunct w:val="0"/>
        <w:autoSpaceDE/>
        <w:autoSpaceDN/>
        <w:bidi w:val="0"/>
        <w:adjustRightInd/>
        <w:snapToGrid/>
        <w:spacing w:line="560" w:lineRule="exact"/>
        <w:ind w:firstLine="3534" w:firstLineChars="11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刑事类（1篇）</w:t>
      </w:r>
    </w:p>
    <w:p w14:paraId="0CBC6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《刑事辩护制度优化研究之律师在场权》</w:t>
      </w:r>
    </w:p>
    <w:p w14:paraId="3393947F">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获奖者：上海市建纬(郑州)律师事务所  李明月</w:t>
      </w:r>
    </w:p>
    <w:p w14:paraId="12514E99">
      <w:pPr>
        <w:keepNext w:val="0"/>
        <w:keepLines w:val="0"/>
        <w:pageBreakBefore w:val="0"/>
        <w:widowControl w:val="0"/>
        <w:kinsoku/>
        <w:wordWrap/>
        <w:overflowPunct/>
        <w:topLinePunct w:val="0"/>
        <w:autoSpaceDE/>
        <w:autoSpaceDN/>
        <w:bidi w:val="0"/>
        <w:adjustRightInd/>
        <w:snapToGrid/>
        <w:spacing w:line="560" w:lineRule="exact"/>
        <w:ind w:firstLine="3213" w:firstLineChars="1000"/>
        <w:jc w:val="lef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民商类（2篇）</w:t>
      </w:r>
    </w:p>
    <w:p w14:paraId="79756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1.《“双碳”目标下林业碳汇法律问题研究：基于国内外比较的视角》</w:t>
      </w:r>
    </w:p>
    <w:p w14:paraId="18EA548E">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获奖者：北京大成（郑州）律师事务所  杜东沼</w:t>
      </w:r>
    </w:p>
    <w:p w14:paraId="56240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2.《&lt;民法典&gt;背景下股权让与担保制度的完善析论》</w:t>
      </w:r>
    </w:p>
    <w:p w14:paraId="0C650774">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获奖者：河南金学苑律师事务所  岳冬菊、宋卓林</w:t>
      </w:r>
    </w:p>
    <w:p w14:paraId="3125BD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行政类（1篇）</w:t>
      </w:r>
    </w:p>
    <w:p w14:paraId="1C41AB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《高校纪检监察机构监督职责作用发挥的现状、问题及对策研究》</w:t>
      </w:r>
    </w:p>
    <w:p w14:paraId="3C561F14">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获奖者：河南法简律师事务所</w:t>
      </w: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ab/>
      </w: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 xml:space="preserve"> 黄雪娇</w:t>
      </w:r>
    </w:p>
    <w:p w14:paraId="2AF1C4E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非诉类（1篇）</w:t>
      </w:r>
    </w:p>
    <w:p w14:paraId="4A5ED0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《RCEP数据跨境流动基本安全例外条款适用问题研究》</w:t>
      </w:r>
    </w:p>
    <w:p w14:paraId="2782341C">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获奖者：河南郑声律师事务所  郭德香</w:t>
      </w:r>
    </w:p>
    <w:p w14:paraId="0F724F4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二等奖（7篇）</w:t>
      </w:r>
    </w:p>
    <w:p w14:paraId="292918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刑事类（1篇）</w:t>
      </w:r>
    </w:p>
    <w:p w14:paraId="3ED06B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《论完善减刑撤销制度》</w:t>
      </w:r>
    </w:p>
    <w:p w14:paraId="1FC7B70E">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获奖者：河南省郑州监狱  程奔</w:t>
      </w:r>
    </w:p>
    <w:p w14:paraId="67FFB63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4B91C7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民商类（4篇）</w:t>
      </w:r>
    </w:p>
    <w:p w14:paraId="28B4F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1.《投资建设类项目中实际承担发包人职能主体对实际施工人的付款责任认定——以BT、F+EPC、PPP模式为视角》</w:t>
      </w:r>
    </w:p>
    <w:p w14:paraId="6BB5F285">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获奖者：河南国基律师事务所  凌聪</w:t>
      </w:r>
    </w:p>
    <w:p w14:paraId="4FDAEB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2.《建设工程领域“背靠背”条款的理解与适用》</w:t>
      </w:r>
    </w:p>
    <w:p w14:paraId="380A321A">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获奖者：北京观韬（郑州）律师事务所  薄菊梅</w:t>
      </w:r>
    </w:p>
    <w:p w14:paraId="60BA06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3.《数字智能时代的所有权弱化--以新能源汽车部分功能需另行付费使用为例》</w:t>
      </w:r>
    </w:p>
    <w:p w14:paraId="2AFE3E24">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获奖者：河南博云天律师事务所  刘鹏群</w:t>
      </w:r>
    </w:p>
    <w:p w14:paraId="2CA503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4.《&lt;民营企业促进法&gt;视域下民营企业融资权益保护的法治突围——以昆濮商贸案为观察样本》</w:t>
      </w:r>
    </w:p>
    <w:p w14:paraId="09729330">
      <w:pPr>
        <w:keepNext w:val="0"/>
        <w:keepLines w:val="0"/>
        <w:pageBreakBefore w:val="0"/>
        <w:widowControl w:val="0"/>
        <w:kinsoku/>
        <w:wordWrap/>
        <w:overflowPunct/>
        <w:topLinePunct w:val="0"/>
        <w:autoSpaceDE/>
        <w:autoSpaceDN/>
        <w:bidi w:val="0"/>
        <w:adjustRightInd/>
        <w:snapToGrid/>
        <w:spacing w:line="540" w:lineRule="exact"/>
        <w:ind w:firstLine="597" w:firstLineChars="200"/>
        <w:jc w:val="left"/>
        <w:textAlignment w:val="auto"/>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t>获奖者：北京金诚同达（郑州）律师事务所 刘虓、姚想培</w:t>
      </w:r>
    </w:p>
    <w:p w14:paraId="0ACCEDB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行政类（1篇）</w:t>
      </w:r>
    </w:p>
    <w:p w14:paraId="276D0D0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《行刑双向衔接制度研究》</w:t>
      </w:r>
    </w:p>
    <w:p w14:paraId="6121E7A0">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获奖者：河南经东律师事务所</w:t>
      </w: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ab/>
      </w: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 xml:space="preserve"> 成永</w:t>
      </w:r>
    </w:p>
    <w:p w14:paraId="2050FBF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非诉类（1篇）</w:t>
      </w:r>
    </w:p>
    <w:p w14:paraId="339BF01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《公司强制清算与破产清算的衔接机制:实践检视与制度优化》</w:t>
      </w:r>
    </w:p>
    <w:p w14:paraId="3080A8B2">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获奖者：河南杰瑞律师事务所  黄秋丽   杨环</w:t>
      </w:r>
    </w:p>
    <w:p w14:paraId="0F0A417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三等奖（14篇）</w:t>
      </w:r>
    </w:p>
    <w:p w14:paraId="463720B1">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刑事类（3篇）</w:t>
      </w:r>
    </w:p>
    <w:p w14:paraId="3B111D43">
      <w:pPr>
        <w:keepNext w:val="0"/>
        <w:keepLines w:val="0"/>
        <w:pageBreakBefore w:val="0"/>
        <w:widowControl w:val="0"/>
        <w:kinsoku/>
        <w:wordWrap/>
        <w:overflowPunct/>
        <w:topLinePunct w:val="0"/>
        <w:autoSpaceDE/>
        <w:autoSpaceDN/>
        <w:bidi w:val="0"/>
        <w:adjustRightInd/>
        <w:snapToGrid/>
        <w:spacing w:line="540" w:lineRule="exact"/>
        <w:ind w:firstLine="596" w:firstLineChars="200"/>
        <w:jc w:val="left"/>
        <w:textAlignment w:val="auto"/>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1.《侦查阶段羁押必要性审查程序中的辩护现状与立法完善》</w:t>
      </w:r>
    </w:p>
    <w:p w14:paraId="2C877130">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获奖者：上海锦天城（郑州）律师事务所  王志华</w:t>
      </w:r>
    </w:p>
    <w:p w14:paraId="075443F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2.《利用影响力受贿罪的主体辨析》</w:t>
      </w:r>
    </w:p>
    <w:p w14:paraId="5FE2046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获奖者：河南路德律师事务所  翟慎海</w:t>
      </w:r>
    </w:p>
    <w:p w14:paraId="5B085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3.《骗取出口退税犯罪的刑法规制与税收征管完善》</w:t>
      </w:r>
    </w:p>
    <w:p w14:paraId="36D34C0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获奖者：河南金色世纪律师事务所  高丽</w:t>
      </w:r>
    </w:p>
    <w:p w14:paraId="6E6EBBB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民商类（9篇）</w:t>
      </w:r>
    </w:p>
    <w:p w14:paraId="1BD1A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1.《实际施工人突破合同相对性制度的解构与重塑--兼评&lt;建工司法解释二（征求意见稿）&gt;》</w:t>
      </w:r>
    </w:p>
    <w:p w14:paraId="30052F02">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获奖者：北京德和衡（郑州）律师事务所  秦朝</w:t>
      </w:r>
    </w:p>
    <w:p w14:paraId="45785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2.《公司法背景下公司强制清算中“无法清算”情形的债权人和股东救济研究》</w:t>
      </w:r>
    </w:p>
    <w:p w14:paraId="7F134894">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获奖者：上海市海华永泰（郑州）律师事务所  张虎  李若雪</w:t>
      </w:r>
    </w:p>
    <w:p w14:paraId="233BC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3.《民商事诉讼视角下廉洁协议的司法实践观察与指引》</w:t>
      </w:r>
    </w:p>
    <w:p w14:paraId="0F42C23F">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获奖者：北京市天同（郑州）律师事务所  段雨涵</w:t>
      </w:r>
    </w:p>
    <w:p w14:paraId="0469C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4.《突破与限制：借用资质施工人直接请求权之司法裁判逻辑探析》</w:t>
      </w:r>
    </w:p>
    <w:p w14:paraId="131F0784">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获奖者：河南千业律师事务所  杨成斌  王昊</w:t>
      </w:r>
    </w:p>
    <w:p w14:paraId="2F932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5.《民商法视角下数字资产确权与流转机制研究》</w:t>
      </w:r>
    </w:p>
    <w:p w14:paraId="5F45C08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获奖者：河南天基律师事务所  张佳佳</w:t>
      </w:r>
    </w:p>
    <w:p w14:paraId="1066B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6.《数据资产质押融资的法律障碍与完善路径》</w:t>
      </w:r>
    </w:p>
    <w:p w14:paraId="6E3C59B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获奖者：北京市隆安（郑州）律师事务所  王晓乐</w:t>
      </w:r>
    </w:p>
    <w:p w14:paraId="42B1D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7.《审计报告在法人人格否认诉讼中的适用研究》</w:t>
      </w:r>
    </w:p>
    <w:p w14:paraId="46E105AE">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获奖者：上海段和段 (郑州)律师事务所  叶俊庆</w:t>
      </w:r>
    </w:p>
    <w:p w14:paraId="4CA30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8.《论竞争中性原则在《中华人民共和国民营经济促进法》中的适用》</w:t>
      </w:r>
    </w:p>
    <w:p w14:paraId="7FF2DEB9">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获奖者：北京大成（郑州）律师事务所  郭帅  王靖怡</w:t>
      </w:r>
    </w:p>
    <w:p w14:paraId="72CAE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9.《论破产程序中股权回购型对赌协议的处理--当破产企业为回购义务人时》</w:t>
      </w:r>
    </w:p>
    <w:p w14:paraId="5C47D164">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获奖者：北京华泰（郑州）律师事务所  鲍秀坤</w:t>
      </w:r>
    </w:p>
    <w:p w14:paraId="0037E8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行政类（1篇）</w:t>
      </w:r>
    </w:p>
    <w:p w14:paraId="275ABC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《行政公益诉讼诉前检察建议的优化路径》</w:t>
      </w:r>
    </w:p>
    <w:p w14:paraId="0BD6CC55">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获奖者：河南天基律师事务所</w:t>
      </w: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ab/>
      </w: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 xml:space="preserve"> 刘海娇</w:t>
      </w:r>
    </w:p>
    <w:p w14:paraId="66C33A6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非诉类（1篇）</w:t>
      </w:r>
    </w:p>
    <w:p w14:paraId="1C6EC2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《非遗传承人姓名及商标权保护的路径与实现方案》</w:t>
      </w:r>
    </w:p>
    <w:p w14:paraId="6BA91C5F">
      <w:pPr>
        <w:keepNext w:val="0"/>
        <w:keepLines w:val="0"/>
        <w:pageBreakBefore w:val="0"/>
        <w:widowControl w:val="0"/>
        <w:kinsoku/>
        <w:wordWrap/>
        <w:overflowPunct/>
        <w:topLinePunct w:val="0"/>
        <w:autoSpaceDE/>
        <w:autoSpaceDN/>
        <w:bidi w:val="0"/>
        <w:adjustRightInd/>
        <w:snapToGrid/>
        <w:spacing w:line="560" w:lineRule="exact"/>
        <w:ind w:firstLine="597" w:firstLineChars="200"/>
        <w:textAlignment w:val="auto"/>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t>获奖者：北京金诚同达（郑州）律师事务所  刘虓 闫崇博</w:t>
      </w:r>
    </w:p>
    <w:p w14:paraId="3BDC4A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376A81-BFFC-4C50-AF40-FB4FFAEB57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FF9D561-4F8F-41C0-925B-7426324F36B3}"/>
  </w:font>
  <w:font w:name="仿宋">
    <w:panose1 w:val="02010609060101010101"/>
    <w:charset w:val="86"/>
    <w:family w:val="auto"/>
    <w:pitch w:val="default"/>
    <w:sig w:usb0="800002BF" w:usb1="38CF7CFA" w:usb2="00000016" w:usb3="00000000" w:csb0="00040001" w:csb1="00000000"/>
    <w:embedRegular r:id="rId3" w:fontKey="{5C3ED1C1-D09E-4780-8397-D7E513F4352C}"/>
  </w:font>
  <w:font w:name="华文楷体">
    <w:panose1 w:val="02010600040101010101"/>
    <w:charset w:val="86"/>
    <w:family w:val="auto"/>
    <w:pitch w:val="default"/>
    <w:sig w:usb0="A00002BF" w:usb1="78CF7CFB" w:usb2="00000016" w:usb3="00000000" w:csb0="6006009F" w:csb1="DFD70000"/>
    <w:embedRegular r:id="rId4" w:fontKey="{E3FB497C-D8E1-44DB-ABE2-1A97001027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B48A7"/>
    <w:rsid w:val="4D5B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2026-04-15T07:01:00Z</dcterms:created>
  <dc:creator>周小点</dc:creator>
  <cp:lastModifiedBy>周小点</cp:lastModifiedBy>
  <dcterms:modified xsi:type="dcterms:W3CDTF">2026-04-15T07:01:55Z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DE27D590235D44B59C1DCF222ECEB27A_11</vt:lpwstr>
  </property>
  <property fmtid="{D5CDD505-2E9C-101B-9397-08002B2CF9AE}" pid="4" name="KSOTemplateDocerSaveRecord">
    <vt:lpwstr>eyJoZGlkIjoiZDU1MTA5MmRjZWUwODRlMjIxNDU2ZjU5NTlkYzQ5N2YiLCJ1c2VySWQiOiIyMjc5NDEyMzMifQ==</vt:lpwstr>
  </property>
</Properties>
</file>