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958" w:tblpY="2832"/>
        <w:tblOverlap w:val="never"/>
        <w:tblW w:w="15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5"/>
        <w:gridCol w:w="4305"/>
        <w:gridCol w:w="3829"/>
        <w:gridCol w:w="2853"/>
        <w:gridCol w:w="685"/>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jc w:val="center"/>
              <w:rPr>
                <w:rFonts w:hint="eastAsia" w:eastAsia="宋体"/>
                <w:lang w:val="en-US" w:eastAsia="zh-CN"/>
              </w:rPr>
            </w:pPr>
            <w:r>
              <w:rPr>
                <w:rFonts w:hint="eastAsia" w:ascii="黑体" w:eastAsia="黑体"/>
                <w:color w:val="000000"/>
                <w:sz w:val="21"/>
                <w:szCs w:val="21"/>
                <w:lang w:val="en-US" w:eastAsia="zh-CN"/>
              </w:rPr>
              <w:t>类别</w:t>
            </w:r>
          </w:p>
        </w:tc>
        <w:tc>
          <w:tcPr>
            <w:tcW w:w="2265" w:type="dxa"/>
            <w:vAlign w:val="center"/>
          </w:tcPr>
          <w:p>
            <w:pPr>
              <w:jc w:val="center"/>
            </w:pPr>
            <w:r>
              <w:rPr>
                <w:rFonts w:hint="eastAsia" w:ascii="黑体" w:eastAsia="黑体"/>
                <w:color w:val="000000"/>
                <w:sz w:val="21"/>
                <w:szCs w:val="21"/>
              </w:rPr>
              <w:t>项目和分值</w:t>
            </w:r>
          </w:p>
        </w:tc>
        <w:tc>
          <w:tcPr>
            <w:tcW w:w="4305" w:type="dxa"/>
            <w:vAlign w:val="center"/>
          </w:tcPr>
          <w:p>
            <w:pPr>
              <w:jc w:val="center"/>
            </w:pPr>
            <w:r>
              <w:rPr>
                <w:rFonts w:hint="eastAsia" w:ascii="黑体" w:eastAsia="黑体"/>
                <w:color w:val="000000"/>
                <w:sz w:val="21"/>
                <w:szCs w:val="21"/>
              </w:rPr>
              <w:t>基础标准</w:t>
            </w:r>
          </w:p>
        </w:tc>
        <w:tc>
          <w:tcPr>
            <w:tcW w:w="3829" w:type="dxa"/>
            <w:vAlign w:val="center"/>
          </w:tcPr>
          <w:p>
            <w:pPr>
              <w:jc w:val="center"/>
            </w:pPr>
            <w:r>
              <w:rPr>
                <w:rFonts w:hint="eastAsia" w:ascii="黑体" w:eastAsia="黑体"/>
                <w:color w:val="000000"/>
                <w:sz w:val="21"/>
                <w:szCs w:val="21"/>
              </w:rPr>
              <w:t>加（扣）分标准</w:t>
            </w:r>
          </w:p>
        </w:tc>
        <w:tc>
          <w:tcPr>
            <w:tcW w:w="2853" w:type="dxa"/>
            <w:vAlign w:val="center"/>
          </w:tcPr>
          <w:p>
            <w:pPr>
              <w:jc w:val="center"/>
            </w:pPr>
            <w:r>
              <w:rPr>
                <w:rFonts w:hint="eastAsia" w:ascii="黑体" w:eastAsia="黑体"/>
                <w:color w:val="000000"/>
                <w:sz w:val="21"/>
                <w:szCs w:val="21"/>
              </w:rPr>
              <w:t>考核方式</w:t>
            </w:r>
          </w:p>
        </w:tc>
        <w:tc>
          <w:tcPr>
            <w:tcW w:w="685" w:type="dxa"/>
            <w:vAlign w:val="center"/>
          </w:tcPr>
          <w:p>
            <w:pPr>
              <w:jc w:val="center"/>
              <w:rPr>
                <w:rFonts w:hint="eastAsia" w:ascii="黑体" w:eastAsia="黑体"/>
                <w:color w:val="000000"/>
                <w:sz w:val="21"/>
                <w:szCs w:val="21"/>
                <w:lang w:val="en-US" w:eastAsia="zh-CN"/>
              </w:rPr>
            </w:pPr>
            <w:r>
              <w:rPr>
                <w:rFonts w:hint="eastAsia" w:ascii="黑体" w:eastAsia="黑体"/>
                <w:color w:val="000000"/>
                <w:sz w:val="21"/>
                <w:szCs w:val="21"/>
                <w:lang w:val="en-US" w:eastAsia="zh-CN"/>
              </w:rPr>
              <w:t>自评分值</w:t>
            </w:r>
          </w:p>
        </w:tc>
        <w:tc>
          <w:tcPr>
            <w:tcW w:w="736" w:type="dxa"/>
            <w:vAlign w:val="center"/>
          </w:tcPr>
          <w:p>
            <w:pPr>
              <w:jc w:val="center"/>
              <w:rPr>
                <w:rFonts w:hint="eastAsia" w:ascii="黑体" w:eastAsia="黑体"/>
                <w:color w:val="000000"/>
                <w:sz w:val="21"/>
                <w:szCs w:val="21"/>
                <w:lang w:val="en-US" w:eastAsia="zh-CN"/>
              </w:rPr>
            </w:pPr>
            <w:r>
              <w:rPr>
                <w:rFonts w:hint="eastAsia" w:ascii="黑体" w:eastAsia="黑体"/>
                <w:color w:val="000000"/>
                <w:sz w:val="21"/>
                <w:szCs w:val="21"/>
                <w:lang w:val="en-US" w:eastAsia="zh-CN"/>
              </w:rPr>
              <w:t>考核分值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675" w:type="dxa"/>
            <w:vMerge w:val="restart"/>
            <w:vAlign w:val="center"/>
          </w:tcPr>
          <w:p>
            <w:pPr>
              <w:jc w:val="center"/>
            </w:pPr>
            <w:r>
              <w:rPr>
                <w:rFonts w:hint="eastAsia" w:ascii="黑体" w:eastAsia="黑体"/>
                <w:b/>
                <w:color w:val="000000"/>
                <w:sz w:val="28"/>
                <w:szCs w:val="28"/>
              </w:rPr>
              <w:t>一 律师队伍建设情况2</w:t>
            </w:r>
            <w:r>
              <w:rPr>
                <w:rFonts w:hint="eastAsia" w:ascii="黑体" w:eastAsia="黑体"/>
                <w:b/>
                <w:color w:val="000000"/>
                <w:sz w:val="28"/>
                <w:szCs w:val="28"/>
                <w:lang w:val="en-US" w:eastAsia="zh-CN"/>
              </w:rPr>
              <w:t>3</w:t>
            </w:r>
            <w:r>
              <w:rPr>
                <w:rFonts w:hint="eastAsia" w:ascii="黑体" w:eastAsia="黑体"/>
                <w:b/>
                <w:color w:val="000000"/>
                <w:sz w:val="28"/>
                <w:szCs w:val="28"/>
              </w:rPr>
              <w:t>分</w:t>
            </w:r>
          </w:p>
        </w:tc>
        <w:tc>
          <w:tcPr>
            <w:tcW w:w="2265" w:type="dxa"/>
            <w:vAlign w:val="center"/>
          </w:tcPr>
          <w:p>
            <w:pPr>
              <w:jc w:val="left"/>
              <w:rPr>
                <w:rFonts w:hint="eastAsia" w:ascii="仿宋_GB2312" w:hAnsi="宋体" w:eastAsia="仿宋_GB2312"/>
                <w:color w:val="000000"/>
                <w:sz w:val="18"/>
                <w:szCs w:val="18"/>
                <w:lang w:val="en-US" w:eastAsia="zh-CN"/>
              </w:rPr>
            </w:pPr>
          </w:p>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1、组织律师开展思想政治教育和律师职业道德、执业纪律教育情况（1.5分）。</w:t>
            </w:r>
          </w:p>
        </w:tc>
        <w:tc>
          <w:tcPr>
            <w:tcW w:w="4305"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建立律师思想政治、职业道德、执业纪律学习制度，每季度至少组织律师进行1次以上学习，1年至少组织4次学习。</w:t>
            </w:r>
          </w:p>
        </w:tc>
        <w:tc>
          <w:tcPr>
            <w:tcW w:w="3829"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律所学习记录少一次扣0.5分，参会律师学习记录少一次扣0.5分。每次参加学习律师人数达不到本所律师总数的三分之二以上的扣1分。</w:t>
            </w:r>
          </w:p>
        </w:tc>
        <w:tc>
          <w:tcPr>
            <w:tcW w:w="2853"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查看律所会议记录、相关资料，抽查律师个人学习记录。</w:t>
            </w:r>
          </w:p>
        </w:tc>
        <w:tc>
          <w:tcPr>
            <w:tcW w:w="685" w:type="dxa"/>
            <w:vAlign w:val="center"/>
          </w:tcPr>
          <w:p>
            <w:pPr>
              <w:jc w:val="center"/>
            </w:pPr>
          </w:p>
        </w:tc>
        <w:tc>
          <w:tcPr>
            <w:tcW w:w="7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675" w:type="dxa"/>
            <w:vMerge w:val="continue"/>
            <w:vAlign w:val="center"/>
          </w:tcPr>
          <w:p>
            <w:pPr>
              <w:jc w:val="center"/>
            </w:pPr>
          </w:p>
        </w:tc>
        <w:tc>
          <w:tcPr>
            <w:tcW w:w="2265"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2、组织律师开展业务学习和参加各类会议、职业培训情况（1.5分）。</w:t>
            </w:r>
          </w:p>
        </w:tc>
        <w:tc>
          <w:tcPr>
            <w:tcW w:w="4305"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建立律师业务学习制度，每月至少组织律师进行1次以上业务学习，1年至少组织12次学习；积极参加行业党委、律协组织的各类会议、培训。</w:t>
            </w:r>
          </w:p>
        </w:tc>
        <w:tc>
          <w:tcPr>
            <w:tcW w:w="3829"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律所学习记录少一次扣0.5分，参会律师学习记录少一次扣0.5分。参加学习律师人数达不到本所律师总数的三分之二以上扣1分。</w:t>
            </w:r>
          </w:p>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未按照行业党委、律协通知要求参加会议、培训的，所主任（支部书记）、律师未请假的1人次分别罚5分、1分，请假的1次分别罚1分、0.5分。罚分不设上限。</w:t>
            </w:r>
          </w:p>
        </w:tc>
        <w:tc>
          <w:tcPr>
            <w:tcW w:w="2853"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查看律所会议记录、相关资料，随机抽查律师个人学习记录。</w:t>
            </w:r>
          </w:p>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查看律协秘书处会议、培训签到表。</w:t>
            </w:r>
          </w:p>
        </w:tc>
        <w:tc>
          <w:tcPr>
            <w:tcW w:w="685" w:type="dxa"/>
            <w:vAlign w:val="center"/>
          </w:tcPr>
          <w:p>
            <w:pPr>
              <w:jc w:val="center"/>
            </w:pPr>
          </w:p>
        </w:tc>
        <w:tc>
          <w:tcPr>
            <w:tcW w:w="7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675" w:type="dxa"/>
            <w:vMerge w:val="continue"/>
            <w:vAlign w:val="center"/>
          </w:tcPr>
          <w:p>
            <w:pPr>
              <w:jc w:val="center"/>
            </w:pPr>
          </w:p>
        </w:tc>
        <w:tc>
          <w:tcPr>
            <w:tcW w:w="2265"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3、党建工作开展情况（20分）。</w:t>
            </w:r>
          </w:p>
        </w:tc>
        <w:tc>
          <w:tcPr>
            <w:tcW w:w="4305"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有3名以上党员并建立独立党支部或有1名以上党员并与他所建立联合党支部（2分）；有党员活动室（2分）；党员律师组织关系在律师到所3个月内转入律所（4分）；党员联系群众律师落实（2分）；律所能够按照律师个人收入确定党费收缴标准（4分）；认真落实“三会一课”制度，利用主题党日开展支部活动，支部学习、个人学习记录符合规范要求（6分）。</w:t>
            </w:r>
          </w:p>
        </w:tc>
        <w:tc>
          <w:tcPr>
            <w:tcW w:w="3829"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b w:val="0"/>
                <w:bCs w:val="0"/>
                <w:color w:val="000000"/>
                <w:sz w:val="18"/>
                <w:szCs w:val="18"/>
                <w:lang w:val="en-US" w:eastAsia="zh-CN"/>
              </w:rPr>
              <w:t xml:space="preserve">未按规定建立党支部本项不得分 </w:t>
            </w:r>
            <w:r>
              <w:rPr>
                <w:rFonts w:hint="eastAsia" w:ascii="仿宋_GB2312" w:hAnsi="宋体" w:eastAsia="仿宋_GB2312"/>
                <w:color w:val="000000"/>
                <w:sz w:val="18"/>
                <w:szCs w:val="18"/>
                <w:lang w:val="en-US" w:eastAsia="zh-CN"/>
              </w:rPr>
              <w:t>；无党员活动室扣2分；党员律师到所3个月内未转入组织关系的，每人扣2分；未落实党员联系群众律师扣2分；落实“三会一课”每少一次扣1分，党员律师个人记录每少一次扣1分。律所未落实行业党委规定的以律师个人收入确定党费收缴标准并缴纳党费扣10分。</w:t>
            </w:r>
          </w:p>
        </w:tc>
        <w:tc>
          <w:tcPr>
            <w:tcW w:w="2853"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看支部会议记录、资料；查看转所手续，核对组织关系、党员律师是否一致。询问、了解党员联系群众分配及落实情况。随机抽查主题党日活动开展资料，查看支部会议、党员律师个人学习记录；查看党费收缴依据记录。</w:t>
            </w:r>
          </w:p>
          <w:p>
            <w:pPr>
              <w:jc w:val="left"/>
              <w:rPr>
                <w:rFonts w:hint="eastAsia" w:ascii="仿宋_GB2312" w:hAnsi="宋体" w:eastAsia="仿宋_GB2312"/>
                <w:color w:val="000000"/>
                <w:sz w:val="18"/>
                <w:szCs w:val="18"/>
                <w:lang w:val="en-US" w:eastAsia="zh-CN"/>
              </w:rPr>
            </w:pPr>
          </w:p>
        </w:tc>
        <w:tc>
          <w:tcPr>
            <w:tcW w:w="685" w:type="dxa"/>
            <w:vAlign w:val="center"/>
          </w:tcPr>
          <w:p>
            <w:pPr>
              <w:jc w:val="center"/>
            </w:pPr>
          </w:p>
        </w:tc>
        <w:tc>
          <w:tcPr>
            <w:tcW w:w="736" w:type="dxa"/>
            <w:vAlign w:val="center"/>
          </w:tcPr>
          <w:p>
            <w:pPr>
              <w:jc w:val="center"/>
            </w:pPr>
          </w:p>
        </w:tc>
      </w:tr>
    </w:tbl>
    <w:p>
      <w:pPr>
        <w:widowControl w:val="0"/>
        <w:tabs>
          <w:tab w:val="left" w:pos="1159"/>
        </w:tabs>
        <w:wordWrap/>
        <w:adjustRightInd/>
        <w:snapToGrid/>
        <w:spacing w:line="500" w:lineRule="exact"/>
        <w:jc w:val="left"/>
        <w:textAlignment w:val="auto"/>
        <w:rPr>
          <w:rFonts w:hint="default"/>
          <w:b/>
          <w:color w:val="000000"/>
          <w:sz w:val="44"/>
          <w:szCs w:val="44"/>
          <w:lang w:val="en-US"/>
        </w:rPr>
      </w:pPr>
      <w:r>
        <w:rPr>
          <w:rFonts w:hint="eastAsia" w:ascii="黑体" w:hAnsi="黑体" w:eastAsia="黑体" w:cs="黑体"/>
          <w:b/>
          <w:color w:val="000000"/>
          <w:sz w:val="32"/>
          <w:szCs w:val="32"/>
          <w:lang w:eastAsia="zh-CN"/>
        </w:rPr>
        <w:t>附件</w:t>
      </w:r>
      <w:r>
        <w:rPr>
          <w:rFonts w:hint="eastAsia" w:ascii="黑体" w:hAnsi="黑体" w:eastAsia="黑体" w:cs="黑体"/>
          <w:b/>
          <w:color w:val="000000"/>
          <w:sz w:val="32"/>
          <w:szCs w:val="32"/>
          <w:lang w:val="en-US" w:eastAsia="zh-CN"/>
        </w:rPr>
        <w:t>1</w:t>
      </w:r>
    </w:p>
    <w:p>
      <w:pPr>
        <w:widowControl w:val="0"/>
        <w:wordWrap/>
        <w:adjustRightInd/>
        <w:snapToGrid/>
        <w:spacing w:line="500" w:lineRule="exact"/>
        <w:jc w:val="center"/>
        <w:textAlignment w:val="auto"/>
      </w:pPr>
      <w:r>
        <w:rPr>
          <w:rFonts w:hint="eastAsia" w:ascii="宋体" w:hAnsi="宋体"/>
          <w:b/>
          <w:color w:val="000000"/>
          <w:sz w:val="44"/>
          <w:szCs w:val="44"/>
          <w:lang w:eastAsia="zh-CN"/>
        </w:rPr>
        <w:t>郑州</w:t>
      </w:r>
      <w:r>
        <w:rPr>
          <w:rFonts w:hint="eastAsia" w:ascii="宋体" w:hAnsi="宋体"/>
          <w:b/>
          <w:color w:val="000000"/>
          <w:sz w:val="44"/>
          <w:szCs w:val="44"/>
        </w:rPr>
        <w:t>市</w:t>
      </w:r>
      <w:r>
        <w:rPr>
          <w:rFonts w:hint="eastAsia"/>
          <w:b/>
          <w:color w:val="000000"/>
          <w:sz w:val="44"/>
          <w:szCs w:val="44"/>
        </w:rPr>
        <w:t>律师事务所</w:t>
      </w:r>
      <w:r>
        <w:rPr>
          <w:rFonts w:hint="eastAsia" w:ascii="黑体" w:hAnsi="黑体" w:eastAsia="黑体"/>
          <w:sz w:val="44"/>
          <w:szCs w:val="44"/>
        </w:rPr>
        <w:t>年度检查量化考核评分标准（20</w:t>
      </w:r>
      <w:r>
        <w:rPr>
          <w:rFonts w:hint="eastAsia" w:ascii="黑体" w:hAnsi="黑体" w:eastAsia="黑体"/>
          <w:sz w:val="44"/>
          <w:szCs w:val="44"/>
          <w:lang w:val="en-US" w:eastAsia="zh-CN"/>
        </w:rPr>
        <w:t>20</w:t>
      </w:r>
      <w:r>
        <w:rPr>
          <w:rFonts w:hint="eastAsia" w:ascii="黑体" w:hAnsi="黑体" w:eastAsia="黑体"/>
          <w:sz w:val="44"/>
          <w:szCs w:val="44"/>
        </w:rPr>
        <w:t>年）</w:t>
      </w:r>
    </w:p>
    <w:p>
      <w:pPr>
        <w:tabs>
          <w:tab w:val="left" w:pos="14457"/>
        </w:tabs>
        <w:jc w:val="center"/>
        <w:rPr>
          <w:rFonts w:hint="eastAsia" w:ascii="宋体" w:hAnsi="宋体"/>
          <w:b/>
          <w:color w:val="000000"/>
          <w:sz w:val="44"/>
          <w:szCs w:val="44"/>
          <w:lang w:eastAsia="zh-CN"/>
        </w:rPr>
      </w:pPr>
    </w:p>
    <w:p>
      <w:pPr>
        <w:tabs>
          <w:tab w:val="left" w:pos="14457"/>
        </w:tabs>
        <w:jc w:val="center"/>
        <w:rPr>
          <w:rFonts w:hint="eastAsia" w:ascii="黑体" w:hAnsi="黑体" w:eastAsia="黑体"/>
          <w:sz w:val="44"/>
          <w:szCs w:val="44"/>
        </w:rPr>
      </w:pPr>
    </w:p>
    <w:tbl>
      <w:tblPr>
        <w:tblStyle w:val="4"/>
        <w:tblpPr w:leftFromText="180" w:rightFromText="180" w:vertAnchor="page" w:horzAnchor="page" w:tblpXSpec="center" w:tblpY="1443"/>
        <w:tblOverlap w:val="never"/>
        <w:tblW w:w="15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265"/>
        <w:gridCol w:w="4290"/>
        <w:gridCol w:w="3781"/>
        <w:gridCol w:w="2813"/>
        <w:gridCol w:w="76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pPr>
              <w:jc w:val="center"/>
              <w:rPr>
                <w:rFonts w:hint="eastAsia" w:ascii="黑体" w:eastAsia="黑体"/>
                <w:color w:val="000000"/>
                <w:sz w:val="21"/>
                <w:szCs w:val="21"/>
                <w:lang w:val="en-US" w:eastAsia="zh-CN"/>
              </w:rPr>
            </w:pPr>
          </w:p>
          <w:p>
            <w:pPr>
              <w:jc w:val="center"/>
              <w:rPr>
                <w:rFonts w:hint="eastAsia" w:eastAsia="宋体"/>
                <w:lang w:val="en-US" w:eastAsia="zh-CN"/>
              </w:rPr>
            </w:pPr>
            <w:r>
              <w:rPr>
                <w:rFonts w:hint="eastAsia" w:ascii="黑体" w:eastAsia="黑体"/>
                <w:color w:val="000000"/>
                <w:sz w:val="21"/>
                <w:szCs w:val="21"/>
                <w:lang w:val="en-US" w:eastAsia="zh-CN"/>
              </w:rPr>
              <w:t>类别</w:t>
            </w:r>
          </w:p>
        </w:tc>
        <w:tc>
          <w:tcPr>
            <w:tcW w:w="2265" w:type="dxa"/>
            <w:vAlign w:val="center"/>
          </w:tcPr>
          <w:p>
            <w:pPr>
              <w:jc w:val="center"/>
              <w:rPr>
                <w:rFonts w:hint="eastAsia" w:ascii="黑体" w:eastAsia="黑体"/>
                <w:color w:val="000000"/>
                <w:sz w:val="21"/>
                <w:szCs w:val="21"/>
              </w:rPr>
            </w:pPr>
          </w:p>
          <w:p>
            <w:pPr>
              <w:jc w:val="center"/>
            </w:pPr>
            <w:r>
              <w:rPr>
                <w:rFonts w:hint="eastAsia" w:ascii="黑体" w:eastAsia="黑体"/>
                <w:color w:val="000000"/>
                <w:sz w:val="21"/>
                <w:szCs w:val="21"/>
              </w:rPr>
              <w:t>项目和分值</w:t>
            </w:r>
          </w:p>
        </w:tc>
        <w:tc>
          <w:tcPr>
            <w:tcW w:w="4290" w:type="dxa"/>
            <w:vAlign w:val="center"/>
          </w:tcPr>
          <w:p>
            <w:pPr>
              <w:jc w:val="center"/>
              <w:rPr>
                <w:rFonts w:hint="eastAsia" w:ascii="黑体" w:eastAsia="黑体"/>
                <w:color w:val="000000"/>
                <w:sz w:val="21"/>
                <w:szCs w:val="21"/>
              </w:rPr>
            </w:pPr>
          </w:p>
          <w:p>
            <w:pPr>
              <w:jc w:val="center"/>
            </w:pPr>
            <w:r>
              <w:rPr>
                <w:rFonts w:hint="eastAsia" w:ascii="黑体" w:eastAsia="黑体"/>
                <w:color w:val="000000"/>
                <w:sz w:val="21"/>
                <w:szCs w:val="21"/>
              </w:rPr>
              <w:t>基础标准</w:t>
            </w:r>
          </w:p>
        </w:tc>
        <w:tc>
          <w:tcPr>
            <w:tcW w:w="3781" w:type="dxa"/>
            <w:vAlign w:val="center"/>
          </w:tcPr>
          <w:p>
            <w:pPr>
              <w:jc w:val="center"/>
              <w:rPr>
                <w:rFonts w:hint="eastAsia" w:ascii="黑体" w:eastAsia="黑体"/>
                <w:color w:val="000000"/>
                <w:sz w:val="21"/>
                <w:szCs w:val="21"/>
              </w:rPr>
            </w:pPr>
          </w:p>
          <w:p>
            <w:pPr>
              <w:jc w:val="center"/>
            </w:pPr>
            <w:r>
              <w:rPr>
                <w:rFonts w:hint="eastAsia" w:ascii="黑体" w:eastAsia="黑体"/>
                <w:color w:val="000000"/>
                <w:sz w:val="21"/>
                <w:szCs w:val="21"/>
              </w:rPr>
              <w:t>加（扣）分标准</w:t>
            </w:r>
          </w:p>
        </w:tc>
        <w:tc>
          <w:tcPr>
            <w:tcW w:w="2813" w:type="dxa"/>
            <w:vAlign w:val="center"/>
          </w:tcPr>
          <w:p>
            <w:pPr>
              <w:jc w:val="center"/>
              <w:rPr>
                <w:rFonts w:hint="eastAsia" w:ascii="黑体" w:eastAsia="黑体"/>
                <w:color w:val="000000"/>
                <w:sz w:val="21"/>
                <w:szCs w:val="21"/>
              </w:rPr>
            </w:pPr>
          </w:p>
          <w:p>
            <w:pPr>
              <w:jc w:val="center"/>
            </w:pPr>
            <w:r>
              <w:rPr>
                <w:rFonts w:hint="eastAsia" w:ascii="黑体" w:eastAsia="黑体"/>
                <w:color w:val="000000"/>
                <w:sz w:val="21"/>
                <w:szCs w:val="21"/>
              </w:rPr>
              <w:t>考核方式</w:t>
            </w:r>
          </w:p>
        </w:tc>
        <w:tc>
          <w:tcPr>
            <w:tcW w:w="762" w:type="dxa"/>
            <w:vAlign w:val="center"/>
          </w:tcPr>
          <w:p>
            <w:pPr>
              <w:jc w:val="center"/>
              <w:rPr>
                <w:rFonts w:hint="eastAsia" w:ascii="黑体" w:eastAsia="黑体"/>
                <w:color w:val="000000"/>
                <w:sz w:val="21"/>
                <w:szCs w:val="21"/>
                <w:lang w:val="en-US" w:eastAsia="zh-CN"/>
              </w:rPr>
            </w:pPr>
          </w:p>
          <w:p>
            <w:pPr>
              <w:jc w:val="center"/>
              <w:rPr>
                <w:rFonts w:hint="eastAsia" w:ascii="黑体" w:eastAsia="黑体"/>
                <w:color w:val="000000"/>
                <w:sz w:val="21"/>
                <w:szCs w:val="21"/>
                <w:lang w:val="en-US" w:eastAsia="zh-CN"/>
              </w:rPr>
            </w:pPr>
            <w:r>
              <w:rPr>
                <w:rFonts w:hint="eastAsia" w:ascii="黑体" w:eastAsia="黑体"/>
                <w:color w:val="000000"/>
                <w:sz w:val="21"/>
                <w:szCs w:val="21"/>
                <w:lang w:val="en-US" w:eastAsia="zh-CN"/>
              </w:rPr>
              <w:t>自评分值</w:t>
            </w:r>
          </w:p>
        </w:tc>
        <w:tc>
          <w:tcPr>
            <w:tcW w:w="708" w:type="dxa"/>
            <w:vAlign w:val="center"/>
          </w:tcPr>
          <w:p>
            <w:pPr>
              <w:jc w:val="center"/>
              <w:rPr>
                <w:rFonts w:hint="eastAsia" w:ascii="黑体" w:eastAsia="黑体"/>
                <w:color w:val="000000"/>
                <w:sz w:val="21"/>
                <w:szCs w:val="21"/>
                <w:lang w:val="en-US" w:eastAsia="zh-CN"/>
              </w:rPr>
            </w:pPr>
          </w:p>
          <w:p>
            <w:pPr>
              <w:jc w:val="center"/>
              <w:rPr>
                <w:rFonts w:hint="eastAsia" w:ascii="黑体" w:eastAsia="黑体"/>
                <w:color w:val="000000"/>
                <w:sz w:val="21"/>
                <w:szCs w:val="21"/>
                <w:lang w:val="en-US" w:eastAsia="zh-CN"/>
              </w:rPr>
            </w:pPr>
            <w:r>
              <w:rPr>
                <w:rFonts w:hint="eastAsia" w:ascii="黑体" w:eastAsia="黑体"/>
                <w:color w:val="000000"/>
                <w:sz w:val="21"/>
                <w:szCs w:val="21"/>
                <w:lang w:val="en-US" w:eastAsia="zh-CN"/>
              </w:rPr>
              <w:t>考核分值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8" w:hRule="atLeast"/>
          <w:jc w:val="center"/>
        </w:trPr>
        <w:tc>
          <w:tcPr>
            <w:tcW w:w="674" w:type="dxa"/>
            <w:vMerge w:val="restart"/>
            <w:vAlign w:val="center"/>
          </w:tcPr>
          <w:p>
            <w:pPr>
              <w:widowControl w:val="0"/>
              <w:wordWrap/>
              <w:adjustRightInd/>
              <w:snapToGrid/>
              <w:spacing w:line="400" w:lineRule="exact"/>
              <w:ind w:left="0" w:leftChars="0" w:right="0" w:firstLine="0" w:firstLineChars="0"/>
              <w:jc w:val="center"/>
              <w:textAlignment w:val="auto"/>
              <w:outlineLvl w:val="9"/>
            </w:pPr>
            <w:r>
              <w:rPr>
                <w:rFonts w:hint="eastAsia" w:ascii="黑体" w:eastAsia="黑体"/>
                <w:b/>
                <w:color w:val="000000"/>
                <w:sz w:val="28"/>
                <w:szCs w:val="28"/>
              </w:rPr>
              <w:t>二   业务活动开展</w:t>
            </w:r>
            <w:r>
              <w:rPr>
                <w:rFonts w:hint="eastAsia" w:ascii="黑体" w:eastAsia="黑体"/>
                <w:b/>
                <w:color w:val="000000"/>
                <w:sz w:val="28"/>
                <w:szCs w:val="28"/>
                <w:lang w:val="en-US" w:eastAsia="zh-CN"/>
              </w:rPr>
              <w:t>17</w:t>
            </w:r>
            <w:r>
              <w:rPr>
                <w:rFonts w:hint="eastAsia" w:ascii="黑体" w:eastAsia="黑体"/>
                <w:b/>
                <w:color w:val="000000"/>
                <w:sz w:val="28"/>
                <w:szCs w:val="28"/>
              </w:rPr>
              <w:t>分</w:t>
            </w:r>
          </w:p>
        </w:tc>
        <w:tc>
          <w:tcPr>
            <w:tcW w:w="2265"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5、拓展服务领域、提高服务质量，建立培养青年律师机制（2分）。</w:t>
            </w:r>
          </w:p>
        </w:tc>
        <w:tc>
          <w:tcPr>
            <w:tcW w:w="4290"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服务领域广泛，注重对青年律师的教育、培养，有配套制度、措施、资金予以保障（2分）。</w:t>
            </w:r>
          </w:p>
        </w:tc>
        <w:tc>
          <w:tcPr>
            <w:tcW w:w="3781"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未建立青年律师培养机制扣1分；有制度、措施，未落实的扣2分。</w:t>
            </w:r>
          </w:p>
        </w:tc>
        <w:tc>
          <w:tcPr>
            <w:tcW w:w="2813"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查看资料、制度、谈话了解。</w:t>
            </w:r>
          </w:p>
        </w:tc>
        <w:tc>
          <w:tcPr>
            <w:tcW w:w="762" w:type="dxa"/>
            <w:vAlign w:val="center"/>
          </w:tcPr>
          <w:p>
            <w:pPr>
              <w:jc w:val="center"/>
            </w:pPr>
          </w:p>
        </w:tc>
        <w:tc>
          <w:tcPr>
            <w:tcW w:w="7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continue"/>
            <w:vAlign w:val="center"/>
          </w:tcPr>
          <w:p>
            <w:pPr>
              <w:jc w:val="center"/>
            </w:pPr>
          </w:p>
        </w:tc>
        <w:tc>
          <w:tcPr>
            <w:tcW w:w="2265"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6、开展业务活动遵守法律、法规、规章和行业规范情况；对律师执业实施监督，因执业活动受到当事人、有关部门及社会公众投诉查处情况（4分）。</w:t>
            </w:r>
          </w:p>
        </w:tc>
        <w:tc>
          <w:tcPr>
            <w:tcW w:w="4290"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建立人员管理制度，切实加强执业律师和辅助人员遵守法律法规规章、社会公德、执业纪律、职业道德、行业规范教育管理（1分）；建立投诉查处制度并公示投诉方式（1分）；有专人负责处理投诉，做到处理、答复及时（2分）。</w:t>
            </w:r>
          </w:p>
        </w:tc>
        <w:tc>
          <w:tcPr>
            <w:tcW w:w="3781"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未建立人员管理制度扣1分；无投诉查处制度扣0.5分，无公示投诉方式扣0.5分，发生无效投诉每次扣0.5分，发生有效投诉每次扣2分，律所或律师受到行业处分的每次扣3分，受到行政处罚的每次扣4分。</w:t>
            </w:r>
          </w:p>
          <w:p>
            <w:pPr>
              <w:jc w:val="left"/>
              <w:rPr>
                <w:rFonts w:hint="eastAsia" w:ascii="仿宋_GB2312" w:hAnsi="宋体" w:eastAsia="仿宋_GB2312"/>
                <w:color w:val="000000"/>
                <w:sz w:val="18"/>
                <w:szCs w:val="18"/>
                <w:lang w:val="en-US" w:eastAsia="zh-CN"/>
              </w:rPr>
            </w:pPr>
          </w:p>
        </w:tc>
        <w:tc>
          <w:tcPr>
            <w:tcW w:w="2813"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查看相关制度、投诉记录、相关材料。</w:t>
            </w:r>
          </w:p>
          <w:p>
            <w:pPr>
              <w:jc w:val="left"/>
              <w:rPr>
                <w:rFonts w:hint="eastAsia" w:ascii="仿宋_GB2312" w:hAnsi="宋体" w:eastAsia="仿宋_GB2312"/>
                <w:color w:val="000000"/>
                <w:sz w:val="18"/>
                <w:szCs w:val="18"/>
                <w:lang w:val="en-US" w:eastAsia="zh-CN"/>
              </w:rPr>
            </w:pPr>
          </w:p>
        </w:tc>
        <w:tc>
          <w:tcPr>
            <w:tcW w:w="762" w:type="dxa"/>
            <w:vAlign w:val="center"/>
          </w:tcPr>
          <w:p>
            <w:pPr>
              <w:jc w:val="center"/>
            </w:pPr>
          </w:p>
        </w:tc>
        <w:tc>
          <w:tcPr>
            <w:tcW w:w="7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74" w:type="dxa"/>
            <w:vMerge w:val="continue"/>
            <w:vAlign w:val="center"/>
          </w:tcPr>
          <w:p>
            <w:pPr>
              <w:jc w:val="center"/>
            </w:pPr>
          </w:p>
        </w:tc>
        <w:tc>
          <w:tcPr>
            <w:tcW w:w="2265"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7、监督、指导律师代理重大、敏感、群体性案件、涉黑恶案件和风险代理案件情况（10分）。</w:t>
            </w:r>
          </w:p>
        </w:tc>
        <w:tc>
          <w:tcPr>
            <w:tcW w:w="4290"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严格执行风险代理案件规定要求（4分）；办理“三类”案件（重大、敏感、群体性案件）、涉黑恶案件情况报告备案规定，并进行集体研究讨论（6分）。</w:t>
            </w:r>
          </w:p>
        </w:tc>
        <w:tc>
          <w:tcPr>
            <w:tcW w:w="3781"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风险代理案件不符合规定要求每件扣4分；代理“三类”案件、涉黑恶案件备案不及时每件扣1分，未报备每件扣2分。</w:t>
            </w:r>
          </w:p>
        </w:tc>
        <w:tc>
          <w:tcPr>
            <w:tcW w:w="2813"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查备案手续，同律协核对，谈话了解。</w:t>
            </w:r>
          </w:p>
        </w:tc>
        <w:tc>
          <w:tcPr>
            <w:tcW w:w="762" w:type="dxa"/>
            <w:vAlign w:val="center"/>
          </w:tcPr>
          <w:p>
            <w:pPr>
              <w:jc w:val="center"/>
            </w:pPr>
          </w:p>
        </w:tc>
        <w:tc>
          <w:tcPr>
            <w:tcW w:w="7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74" w:type="dxa"/>
            <w:vMerge w:val="continue"/>
            <w:vAlign w:val="center"/>
          </w:tcPr>
          <w:p>
            <w:pPr>
              <w:jc w:val="center"/>
            </w:pPr>
          </w:p>
        </w:tc>
        <w:tc>
          <w:tcPr>
            <w:tcW w:w="2265"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8、因执业活动受到当事人、有关部门及社会公众表扬情况（1分）。</w:t>
            </w:r>
          </w:p>
        </w:tc>
        <w:tc>
          <w:tcPr>
            <w:tcW w:w="4290"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服务质量高，本年度内执业活动受到当事人、有关部门及社会公众表扬情况（1分）。</w:t>
            </w:r>
          </w:p>
          <w:p>
            <w:pPr>
              <w:jc w:val="left"/>
              <w:rPr>
                <w:rFonts w:hint="eastAsia" w:ascii="仿宋_GB2312" w:hAnsi="宋体" w:eastAsia="仿宋_GB2312"/>
                <w:color w:val="000000"/>
                <w:sz w:val="18"/>
                <w:szCs w:val="18"/>
                <w:lang w:val="en-US" w:eastAsia="zh-CN"/>
              </w:rPr>
            </w:pPr>
          </w:p>
        </w:tc>
        <w:tc>
          <w:tcPr>
            <w:tcW w:w="3781" w:type="dxa"/>
            <w:vAlign w:val="center"/>
          </w:tcPr>
          <w:p>
            <w:pPr>
              <w:ind w:firstLine="360" w:firstLineChars="200"/>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未受到表扬的本项不得分</w:t>
            </w:r>
          </w:p>
        </w:tc>
        <w:tc>
          <w:tcPr>
            <w:tcW w:w="2813"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查看相关锦旗、表扬信等。</w:t>
            </w:r>
          </w:p>
          <w:p>
            <w:pPr>
              <w:jc w:val="left"/>
              <w:rPr>
                <w:rFonts w:hint="eastAsia" w:ascii="仿宋_GB2312" w:hAnsi="宋体" w:eastAsia="仿宋_GB2312"/>
                <w:color w:val="000000"/>
                <w:sz w:val="18"/>
                <w:szCs w:val="18"/>
                <w:lang w:val="en-US" w:eastAsia="zh-CN"/>
              </w:rPr>
            </w:pPr>
          </w:p>
        </w:tc>
        <w:tc>
          <w:tcPr>
            <w:tcW w:w="762" w:type="dxa"/>
            <w:vAlign w:val="center"/>
          </w:tcPr>
          <w:p>
            <w:pPr>
              <w:jc w:val="center"/>
            </w:pPr>
          </w:p>
        </w:tc>
        <w:tc>
          <w:tcPr>
            <w:tcW w:w="708" w:type="dxa"/>
            <w:vAlign w:val="center"/>
          </w:tcPr>
          <w:p>
            <w:pPr>
              <w:jc w:val="center"/>
            </w:pPr>
          </w:p>
        </w:tc>
      </w:tr>
    </w:tbl>
    <w:tbl>
      <w:tblPr>
        <w:tblStyle w:val="4"/>
        <w:tblpPr w:leftFromText="180" w:rightFromText="180" w:vertAnchor="page" w:horzAnchor="page" w:tblpX="875" w:tblpY="1404"/>
        <w:tblOverlap w:val="never"/>
        <w:tblW w:w="15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280"/>
        <w:gridCol w:w="4293"/>
        <w:gridCol w:w="3747"/>
        <w:gridCol w:w="2826"/>
        <w:gridCol w:w="75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80" w:type="dxa"/>
            <w:vAlign w:val="center"/>
          </w:tcPr>
          <w:p>
            <w:pPr>
              <w:jc w:val="center"/>
              <w:rPr>
                <w:rFonts w:hint="eastAsia" w:ascii="黑体" w:eastAsia="黑体"/>
                <w:color w:val="000000"/>
                <w:sz w:val="21"/>
                <w:szCs w:val="21"/>
              </w:rPr>
            </w:pPr>
            <w:r>
              <w:rPr>
                <w:rFonts w:hint="eastAsia" w:ascii="黑体" w:eastAsia="黑体"/>
                <w:color w:val="000000"/>
                <w:sz w:val="21"/>
                <w:szCs w:val="21"/>
                <w:lang w:val="en-US" w:eastAsia="zh-CN"/>
              </w:rPr>
              <w:t>类别</w:t>
            </w:r>
          </w:p>
        </w:tc>
        <w:tc>
          <w:tcPr>
            <w:tcW w:w="2280" w:type="dxa"/>
            <w:vAlign w:val="center"/>
          </w:tcPr>
          <w:p>
            <w:pPr>
              <w:jc w:val="center"/>
            </w:pPr>
            <w:r>
              <w:rPr>
                <w:rFonts w:hint="eastAsia" w:ascii="黑体" w:eastAsia="黑体"/>
                <w:color w:val="000000"/>
                <w:sz w:val="21"/>
                <w:szCs w:val="21"/>
              </w:rPr>
              <w:t>项目和分值</w:t>
            </w:r>
          </w:p>
        </w:tc>
        <w:tc>
          <w:tcPr>
            <w:tcW w:w="4293" w:type="dxa"/>
            <w:vAlign w:val="center"/>
          </w:tcPr>
          <w:p>
            <w:pPr>
              <w:jc w:val="center"/>
            </w:pPr>
            <w:r>
              <w:rPr>
                <w:rFonts w:hint="eastAsia" w:ascii="黑体" w:eastAsia="黑体"/>
                <w:color w:val="000000"/>
                <w:sz w:val="21"/>
                <w:szCs w:val="21"/>
              </w:rPr>
              <w:t>基础标准</w:t>
            </w:r>
          </w:p>
        </w:tc>
        <w:tc>
          <w:tcPr>
            <w:tcW w:w="3747" w:type="dxa"/>
            <w:vAlign w:val="center"/>
          </w:tcPr>
          <w:p>
            <w:pPr>
              <w:jc w:val="center"/>
            </w:pPr>
            <w:r>
              <w:rPr>
                <w:rFonts w:hint="eastAsia" w:ascii="黑体" w:eastAsia="黑体"/>
                <w:color w:val="000000"/>
                <w:sz w:val="21"/>
                <w:szCs w:val="21"/>
              </w:rPr>
              <w:t>加（扣）分标准</w:t>
            </w:r>
          </w:p>
        </w:tc>
        <w:tc>
          <w:tcPr>
            <w:tcW w:w="2826" w:type="dxa"/>
            <w:vAlign w:val="center"/>
          </w:tcPr>
          <w:p>
            <w:pPr>
              <w:jc w:val="center"/>
            </w:pPr>
            <w:r>
              <w:rPr>
                <w:rFonts w:hint="eastAsia" w:ascii="黑体" w:eastAsia="黑体"/>
                <w:color w:val="000000"/>
                <w:sz w:val="21"/>
                <w:szCs w:val="21"/>
              </w:rPr>
              <w:t>考核方式</w:t>
            </w:r>
          </w:p>
        </w:tc>
        <w:tc>
          <w:tcPr>
            <w:tcW w:w="750" w:type="dxa"/>
            <w:vAlign w:val="center"/>
          </w:tcPr>
          <w:p>
            <w:pPr>
              <w:jc w:val="center"/>
              <w:rPr>
                <w:rFonts w:hint="eastAsia" w:ascii="黑体" w:eastAsia="黑体"/>
                <w:color w:val="000000"/>
                <w:sz w:val="21"/>
                <w:szCs w:val="21"/>
                <w:lang w:val="en-US" w:eastAsia="zh-CN"/>
              </w:rPr>
            </w:pPr>
            <w:r>
              <w:rPr>
                <w:rFonts w:hint="eastAsia" w:ascii="黑体" w:eastAsia="黑体"/>
                <w:color w:val="000000"/>
                <w:sz w:val="21"/>
                <w:szCs w:val="21"/>
                <w:lang w:val="en-US" w:eastAsia="zh-CN"/>
              </w:rPr>
              <w:t>自评分值</w:t>
            </w:r>
          </w:p>
        </w:tc>
        <w:tc>
          <w:tcPr>
            <w:tcW w:w="705" w:type="dxa"/>
            <w:vAlign w:val="center"/>
          </w:tcPr>
          <w:p>
            <w:pPr>
              <w:jc w:val="center"/>
              <w:rPr>
                <w:rFonts w:hint="eastAsia" w:ascii="黑体" w:eastAsia="黑体"/>
                <w:color w:val="000000"/>
                <w:sz w:val="21"/>
                <w:szCs w:val="21"/>
                <w:lang w:val="en-US" w:eastAsia="zh-CN"/>
              </w:rPr>
            </w:pPr>
            <w:r>
              <w:rPr>
                <w:rFonts w:hint="eastAsia" w:ascii="黑体" w:eastAsia="黑体"/>
                <w:color w:val="000000"/>
                <w:sz w:val="21"/>
                <w:szCs w:val="21"/>
                <w:lang w:val="en-US" w:eastAsia="zh-CN"/>
              </w:rPr>
              <w:t>考核分值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680" w:type="dxa"/>
            <w:vMerge w:val="restart"/>
            <w:textDirection w:val="tbRlV"/>
            <w:vAlign w:val="center"/>
          </w:tcPr>
          <w:p>
            <w:pPr>
              <w:ind w:left="113" w:right="113"/>
              <w:jc w:val="center"/>
              <w:rPr>
                <w:rFonts w:hint="eastAsia" w:ascii="仿宋_GB2312" w:hAnsi="宋体" w:eastAsia="仿宋_GB2312"/>
                <w:color w:val="000000"/>
                <w:szCs w:val="21"/>
                <w:lang w:val="en-US" w:eastAsia="zh-CN"/>
              </w:rPr>
            </w:pPr>
            <w:r>
              <w:rPr>
                <w:rFonts w:hint="eastAsia" w:ascii="黑体" w:eastAsia="黑体"/>
                <w:b/>
                <w:color w:val="000000"/>
                <w:sz w:val="28"/>
                <w:szCs w:val="28"/>
              </w:rPr>
              <w:t xml:space="preserve">三 律师执业表现情况 </w:t>
            </w:r>
            <w:r>
              <w:rPr>
                <w:rFonts w:hint="eastAsia" w:ascii="黑体" w:eastAsia="黑体"/>
                <w:b/>
                <w:color w:val="000000"/>
                <w:sz w:val="28"/>
                <w:szCs w:val="28"/>
                <w:lang w:val="en-US" w:eastAsia="zh-CN"/>
              </w:rPr>
              <w:t>10</w:t>
            </w:r>
            <w:r>
              <w:rPr>
                <w:rFonts w:hint="eastAsia" w:ascii="黑体" w:eastAsia="黑体"/>
                <w:b/>
                <w:color w:val="000000"/>
                <w:sz w:val="28"/>
                <w:szCs w:val="28"/>
              </w:rPr>
              <w:t>分</w:t>
            </w:r>
          </w:p>
        </w:tc>
        <w:tc>
          <w:tcPr>
            <w:tcW w:w="2280"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9、律师履行法律援助义务、参加社会服务及其他社会公益活动情况（1分）。</w:t>
            </w:r>
          </w:p>
        </w:tc>
        <w:tc>
          <w:tcPr>
            <w:tcW w:w="4293"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积极履行法律援助义务，办理法律援助案件，服务党委政府中心工作，参加社会服务及其他社会公益活动（1分）。</w:t>
            </w:r>
          </w:p>
        </w:tc>
        <w:tc>
          <w:tcPr>
            <w:tcW w:w="3747"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未按规定参加一村（社区）一律师等服务党委政府中心工作安排、参加社会服务及其他社会公益活动每次扣0.5分，最多扣1分，无正当理由拒绝分配的法律援助案件每次扣0.5分。</w:t>
            </w:r>
          </w:p>
        </w:tc>
        <w:tc>
          <w:tcPr>
            <w:tcW w:w="2826"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查看服务村（社区）工作记录、法律援助中心证明、相关服务资料。</w:t>
            </w:r>
          </w:p>
        </w:tc>
        <w:tc>
          <w:tcPr>
            <w:tcW w:w="750" w:type="dxa"/>
            <w:vAlign w:val="center"/>
          </w:tcPr>
          <w:p>
            <w:pPr>
              <w:jc w:val="center"/>
            </w:pPr>
          </w:p>
        </w:tc>
        <w:tc>
          <w:tcPr>
            <w:tcW w:w="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680" w:type="dxa"/>
            <w:vMerge w:val="continue"/>
            <w:vAlign w:val="center"/>
          </w:tcPr>
          <w:p>
            <w:pPr>
              <w:jc w:val="center"/>
              <w:rPr>
                <w:rFonts w:hint="eastAsia" w:ascii="仿宋_GB2312" w:hAnsi="宋体" w:eastAsia="仿宋_GB2312"/>
                <w:color w:val="000000"/>
                <w:szCs w:val="21"/>
                <w:lang w:val="en-US" w:eastAsia="zh-CN"/>
              </w:rPr>
            </w:pPr>
          </w:p>
        </w:tc>
        <w:tc>
          <w:tcPr>
            <w:tcW w:w="2280"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10、律师受到行业惩戒、行政处罚及其他警示约谈情况（5分）。</w:t>
            </w:r>
          </w:p>
        </w:tc>
        <w:tc>
          <w:tcPr>
            <w:tcW w:w="4293"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年度内没有当事人到司法行政机关、律师协会投诉律所及其律师，未受到行业处分、行政处罚及其他警示约谈（5分）。</w:t>
            </w:r>
          </w:p>
        </w:tc>
        <w:tc>
          <w:tcPr>
            <w:tcW w:w="3747"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律师有1人次受到行业处分或行政处罚的本项不得分；律师受到警示约谈1人次扣1分。</w:t>
            </w:r>
          </w:p>
        </w:tc>
        <w:tc>
          <w:tcPr>
            <w:tcW w:w="2826"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向协会投诉受理中心了解，查看律协相关资料。</w:t>
            </w:r>
          </w:p>
        </w:tc>
        <w:tc>
          <w:tcPr>
            <w:tcW w:w="750" w:type="dxa"/>
            <w:vAlign w:val="center"/>
          </w:tcPr>
          <w:p>
            <w:pPr>
              <w:jc w:val="center"/>
            </w:pPr>
          </w:p>
        </w:tc>
        <w:tc>
          <w:tcPr>
            <w:tcW w:w="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680" w:type="dxa"/>
            <w:vMerge w:val="continue"/>
            <w:vAlign w:val="center"/>
          </w:tcPr>
          <w:p>
            <w:pPr>
              <w:jc w:val="center"/>
              <w:rPr>
                <w:rFonts w:hint="eastAsia" w:ascii="仿宋_GB2312" w:hAnsi="宋体" w:eastAsia="仿宋_GB2312"/>
                <w:color w:val="000000"/>
                <w:szCs w:val="21"/>
                <w:lang w:val="en-US" w:eastAsia="zh-CN"/>
              </w:rPr>
            </w:pPr>
          </w:p>
        </w:tc>
        <w:tc>
          <w:tcPr>
            <w:tcW w:w="2280"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11、律师执业年度考核情况（4分）。</w:t>
            </w:r>
          </w:p>
        </w:tc>
        <w:tc>
          <w:tcPr>
            <w:tcW w:w="4293"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按上报确定的时间召开律所律师年度考核会议（1分），邀请所在辖区司法局律师管理部门人员参加（1分），组织律师分别述职、现场评议，确定考核结果，并做好记录（2分）。</w:t>
            </w:r>
          </w:p>
        </w:tc>
        <w:tc>
          <w:tcPr>
            <w:tcW w:w="3747"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未按上报时间召开律师年度考核会议扣1分，未邀请司法行政机关参加扣1分，未组织律师分别述职扣1分，未现场评议确定考核结果扣1分，未做好考核记录扣1分，律师每缺少1人扣0.5分。</w:t>
            </w:r>
          </w:p>
        </w:tc>
        <w:tc>
          <w:tcPr>
            <w:tcW w:w="2826"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核对上报考核时间和实际考核考核时间、查看考核会议记录、图片、谈话了解。</w:t>
            </w:r>
          </w:p>
        </w:tc>
        <w:tc>
          <w:tcPr>
            <w:tcW w:w="750" w:type="dxa"/>
            <w:vAlign w:val="center"/>
          </w:tcPr>
          <w:p>
            <w:pPr>
              <w:jc w:val="center"/>
            </w:pPr>
          </w:p>
        </w:tc>
        <w:tc>
          <w:tcPr>
            <w:tcW w:w="705" w:type="dxa"/>
            <w:vAlign w:val="center"/>
          </w:tcPr>
          <w:p>
            <w:pPr>
              <w:jc w:val="center"/>
            </w:pPr>
          </w:p>
        </w:tc>
      </w:tr>
    </w:tbl>
    <w:tbl>
      <w:tblPr>
        <w:tblStyle w:val="4"/>
        <w:tblpPr w:leftFromText="180" w:rightFromText="180" w:vertAnchor="page" w:horzAnchor="page" w:tblpX="861" w:tblpY="1593"/>
        <w:tblOverlap w:val="never"/>
        <w:tblW w:w="15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67"/>
        <w:gridCol w:w="4267"/>
        <w:gridCol w:w="3773"/>
        <w:gridCol w:w="2803"/>
        <w:gridCol w:w="75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jc w:val="center"/>
              <w:rPr>
                <w:rFonts w:hint="eastAsia" w:ascii="黑体" w:eastAsia="黑体"/>
                <w:color w:val="000000"/>
                <w:sz w:val="21"/>
                <w:szCs w:val="21"/>
              </w:rPr>
            </w:pPr>
            <w:r>
              <w:rPr>
                <w:rFonts w:hint="eastAsia" w:ascii="黑体" w:eastAsia="黑体"/>
                <w:color w:val="000000"/>
                <w:sz w:val="21"/>
                <w:szCs w:val="21"/>
                <w:lang w:val="en-US" w:eastAsia="zh-CN"/>
              </w:rPr>
              <w:t>类别</w:t>
            </w:r>
          </w:p>
        </w:tc>
        <w:tc>
          <w:tcPr>
            <w:tcW w:w="2267" w:type="dxa"/>
            <w:vAlign w:val="center"/>
          </w:tcPr>
          <w:p>
            <w:pPr>
              <w:jc w:val="center"/>
            </w:pPr>
            <w:r>
              <w:rPr>
                <w:rFonts w:hint="eastAsia" w:ascii="黑体" w:eastAsia="黑体"/>
                <w:color w:val="000000"/>
                <w:sz w:val="21"/>
                <w:szCs w:val="21"/>
              </w:rPr>
              <w:t>项目和分值</w:t>
            </w:r>
          </w:p>
        </w:tc>
        <w:tc>
          <w:tcPr>
            <w:tcW w:w="4267" w:type="dxa"/>
            <w:vAlign w:val="center"/>
          </w:tcPr>
          <w:p>
            <w:pPr>
              <w:jc w:val="center"/>
            </w:pPr>
            <w:r>
              <w:rPr>
                <w:rFonts w:hint="eastAsia" w:ascii="黑体" w:eastAsia="黑体"/>
                <w:color w:val="000000"/>
                <w:sz w:val="21"/>
                <w:szCs w:val="21"/>
              </w:rPr>
              <w:t>基础标准</w:t>
            </w:r>
          </w:p>
        </w:tc>
        <w:tc>
          <w:tcPr>
            <w:tcW w:w="3773" w:type="dxa"/>
            <w:vAlign w:val="center"/>
          </w:tcPr>
          <w:p>
            <w:pPr>
              <w:jc w:val="center"/>
            </w:pPr>
            <w:r>
              <w:rPr>
                <w:rFonts w:hint="eastAsia" w:ascii="黑体" w:eastAsia="黑体"/>
                <w:color w:val="000000"/>
                <w:sz w:val="21"/>
                <w:szCs w:val="21"/>
              </w:rPr>
              <w:t>加（扣）分标准</w:t>
            </w:r>
          </w:p>
        </w:tc>
        <w:tc>
          <w:tcPr>
            <w:tcW w:w="2803" w:type="dxa"/>
            <w:vAlign w:val="center"/>
          </w:tcPr>
          <w:p>
            <w:pPr>
              <w:jc w:val="center"/>
            </w:pPr>
            <w:r>
              <w:rPr>
                <w:rFonts w:hint="eastAsia" w:ascii="黑体" w:eastAsia="黑体"/>
                <w:color w:val="000000"/>
                <w:sz w:val="21"/>
                <w:szCs w:val="21"/>
              </w:rPr>
              <w:t>考核方式</w:t>
            </w:r>
          </w:p>
        </w:tc>
        <w:tc>
          <w:tcPr>
            <w:tcW w:w="750" w:type="dxa"/>
            <w:vAlign w:val="center"/>
          </w:tcPr>
          <w:p>
            <w:pPr>
              <w:jc w:val="center"/>
              <w:rPr>
                <w:rFonts w:hint="eastAsia" w:ascii="黑体" w:eastAsia="黑体"/>
                <w:color w:val="000000"/>
                <w:sz w:val="21"/>
                <w:szCs w:val="21"/>
                <w:lang w:val="en-US" w:eastAsia="zh-CN"/>
              </w:rPr>
            </w:pPr>
            <w:r>
              <w:rPr>
                <w:rFonts w:hint="eastAsia" w:ascii="黑体" w:eastAsia="黑体"/>
                <w:color w:val="000000"/>
                <w:sz w:val="21"/>
                <w:szCs w:val="21"/>
                <w:lang w:val="en-US" w:eastAsia="zh-CN"/>
              </w:rPr>
              <w:t>自评分值</w:t>
            </w:r>
          </w:p>
        </w:tc>
        <w:tc>
          <w:tcPr>
            <w:tcW w:w="705" w:type="dxa"/>
            <w:vAlign w:val="center"/>
          </w:tcPr>
          <w:p>
            <w:pPr>
              <w:jc w:val="center"/>
              <w:rPr>
                <w:rFonts w:hint="eastAsia" w:ascii="黑体" w:eastAsia="黑体"/>
                <w:color w:val="000000"/>
                <w:sz w:val="21"/>
                <w:szCs w:val="21"/>
                <w:lang w:val="en-US" w:eastAsia="zh-CN"/>
              </w:rPr>
            </w:pPr>
            <w:r>
              <w:rPr>
                <w:rFonts w:hint="eastAsia" w:ascii="黑体" w:eastAsia="黑体"/>
                <w:color w:val="000000"/>
                <w:sz w:val="21"/>
                <w:szCs w:val="21"/>
                <w:lang w:val="en-US" w:eastAsia="zh-CN"/>
              </w:rPr>
              <w:t>考核分值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720" w:type="dxa"/>
            <w:vMerge w:val="restart"/>
            <w:textDirection w:val="tbRlV"/>
            <w:vAlign w:val="center"/>
          </w:tcPr>
          <w:p>
            <w:pPr>
              <w:ind w:left="113" w:right="113"/>
              <w:jc w:val="center"/>
              <w:rPr>
                <w:rFonts w:hint="eastAsia" w:ascii="仿宋_GB2312" w:hAnsi="宋体" w:eastAsia="仿宋_GB2312"/>
                <w:color w:val="000000"/>
                <w:szCs w:val="21"/>
                <w:lang w:val="en-US" w:eastAsia="zh-CN"/>
              </w:rPr>
            </w:pPr>
            <w:r>
              <w:rPr>
                <w:rFonts w:hint="eastAsia" w:ascii="黑体" w:eastAsia="黑体"/>
                <w:b/>
                <w:color w:val="000000"/>
                <w:sz w:val="28"/>
                <w:szCs w:val="28"/>
                <w:lang w:val="en-US" w:eastAsia="zh-CN"/>
              </w:rPr>
              <w:t>四</w:t>
            </w:r>
            <w:r>
              <w:rPr>
                <w:rFonts w:hint="eastAsia" w:ascii="黑体" w:eastAsia="黑体"/>
                <w:b/>
                <w:color w:val="000000"/>
                <w:sz w:val="28"/>
                <w:szCs w:val="28"/>
              </w:rPr>
              <w:t xml:space="preserve"> </w:t>
            </w:r>
            <w:r>
              <w:rPr>
                <w:rFonts w:hint="eastAsia" w:ascii="黑体" w:eastAsia="黑体"/>
                <w:b/>
                <w:color w:val="000000"/>
                <w:sz w:val="28"/>
                <w:szCs w:val="28"/>
                <w:lang w:val="en-US" w:eastAsia="zh-CN"/>
              </w:rPr>
              <w:t xml:space="preserve">内 部 管 理 </w:t>
            </w:r>
            <w:r>
              <w:rPr>
                <w:rFonts w:hint="eastAsia" w:ascii="黑体" w:eastAsia="黑体"/>
                <w:b/>
                <w:color w:val="000000"/>
                <w:sz w:val="28"/>
                <w:szCs w:val="28"/>
              </w:rPr>
              <w:t>情</w:t>
            </w:r>
            <w:r>
              <w:rPr>
                <w:rFonts w:hint="eastAsia" w:ascii="黑体" w:eastAsia="黑体"/>
                <w:b/>
                <w:color w:val="000000"/>
                <w:sz w:val="28"/>
                <w:szCs w:val="28"/>
                <w:lang w:val="en-US" w:eastAsia="zh-CN"/>
              </w:rPr>
              <w:t xml:space="preserve"> </w:t>
            </w:r>
            <w:r>
              <w:rPr>
                <w:rFonts w:hint="eastAsia" w:ascii="黑体" w:eastAsia="黑体"/>
                <w:b/>
                <w:color w:val="000000"/>
                <w:sz w:val="28"/>
                <w:szCs w:val="28"/>
              </w:rPr>
              <w:t xml:space="preserve">况 </w:t>
            </w:r>
            <w:r>
              <w:rPr>
                <w:rFonts w:hint="eastAsia" w:ascii="黑体" w:eastAsia="黑体"/>
                <w:b/>
                <w:color w:val="000000"/>
                <w:sz w:val="28"/>
                <w:szCs w:val="28"/>
                <w:lang w:val="en-US" w:eastAsia="zh-CN"/>
              </w:rPr>
              <w:t>50</w:t>
            </w:r>
            <w:r>
              <w:rPr>
                <w:rFonts w:hint="eastAsia" w:ascii="黑体" w:eastAsia="黑体"/>
                <w:b/>
                <w:color w:val="000000"/>
                <w:sz w:val="28"/>
                <w:szCs w:val="28"/>
              </w:rPr>
              <w:t>分</w:t>
            </w:r>
          </w:p>
        </w:tc>
        <w:tc>
          <w:tcPr>
            <w:tcW w:w="2267"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12、执业管理制度建立、实施和执业人员信息公示情况（12分）。</w:t>
            </w:r>
          </w:p>
        </w:tc>
        <w:tc>
          <w:tcPr>
            <w:tcW w:w="4267"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建立统一收案制度、收费管理制度、财务管理制度、利益冲突审查制度、文书印章使用统一管理制度、重大疑难案件请示报告、集体研究和检查督导制度、表彰奖励制度、投诉查处制度、律师执业年度考核制度、业务档案管理制度、违规律师辞退和除名制度，能按照制度落实；（6分）有无立案登记本，立案有无专人审批；有无律师事务所出函登记本，律师函是否编号；有无律师事务所印章使用登记本，印章是否专人管理（4分）；执业人员信息公示（2分）。</w:t>
            </w:r>
          </w:p>
        </w:tc>
        <w:tc>
          <w:tcPr>
            <w:tcW w:w="3773"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12项制度中，少1项制度扣0.5分；有制度不切合实际的每项扣0.3分，未按照制度落实的每项次扣0.5分，没有立案登记本扣2分；有立案登记本，没有专人审批扣1分，没有出函登记本扣2分；有出函登记本，填写不规范扣1分，未编号扣1分，没有印章使用登记本扣2分；印章无专人管理扣1分；个人用章与公务用章混合登记扣1分；执业人员信息公示与实际不符扣2分。</w:t>
            </w:r>
          </w:p>
        </w:tc>
        <w:tc>
          <w:tcPr>
            <w:tcW w:w="2803"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从中院裁判文书网随机抽查3份判决调取档案卷宗，检查卷宗中的案件批办单、收费凭证、委托书、委托合同、风险告知书、办案质量监督卡、办案小结等内容是否完善，1份档案中每缺少1项内容扣1分；有2份以上档案中每缺少1项内容扣2分，最多扣10分。</w:t>
            </w:r>
          </w:p>
        </w:tc>
        <w:tc>
          <w:tcPr>
            <w:tcW w:w="750" w:type="dxa"/>
            <w:vAlign w:val="center"/>
          </w:tcPr>
          <w:p>
            <w:pPr>
              <w:jc w:val="center"/>
            </w:pPr>
          </w:p>
        </w:tc>
        <w:tc>
          <w:tcPr>
            <w:tcW w:w="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20" w:type="dxa"/>
            <w:vMerge w:val="continue"/>
            <w:vAlign w:val="center"/>
          </w:tcPr>
          <w:p>
            <w:pPr>
              <w:jc w:val="center"/>
              <w:rPr>
                <w:rFonts w:hint="eastAsia" w:ascii="仿宋_GB2312" w:hAnsi="宋体" w:eastAsia="仿宋_GB2312"/>
                <w:color w:val="000000"/>
                <w:szCs w:val="21"/>
                <w:lang w:val="en-US" w:eastAsia="zh-CN"/>
              </w:rPr>
            </w:pPr>
          </w:p>
        </w:tc>
        <w:tc>
          <w:tcPr>
            <w:tcW w:w="2267"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13、收费室设立、财务管理、收费管理、公示和分配管理制度建立、实施情况（12分）。</w:t>
            </w:r>
          </w:p>
        </w:tc>
        <w:tc>
          <w:tcPr>
            <w:tcW w:w="4267"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设立收费室、公示收费标准并落实财务管理制度，严格执行律师收费相关规定，无律师私自收费、乱收费、收费不开具发票现象。收费合同或条款包括：收费项目、收费标准、收费方式、收费数额、付款和结算方式、争议解决方式等内容。有无收费凭证，是否一案一发票；聘用会计是否符合规定要求（12分）。</w:t>
            </w:r>
          </w:p>
        </w:tc>
        <w:tc>
          <w:tcPr>
            <w:tcW w:w="3773"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未设收费室的扣5分；没有聘用专职会计的扣2分；收费标准未公示的扣1分，收费合同或收费条款漏一项扣1分，私自收费的，每件扣5分。收费没有开具正规发票的每件扣3分；发现2起以上没有正规发票的扣8分；。</w:t>
            </w:r>
          </w:p>
        </w:tc>
        <w:tc>
          <w:tcPr>
            <w:tcW w:w="2803"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从中国裁判文书网随机抽查3份终审判决调取档案卷宗查看收费执行情况。</w:t>
            </w:r>
          </w:p>
        </w:tc>
        <w:tc>
          <w:tcPr>
            <w:tcW w:w="750" w:type="dxa"/>
            <w:vAlign w:val="center"/>
          </w:tcPr>
          <w:p>
            <w:pPr>
              <w:jc w:val="center"/>
            </w:pPr>
          </w:p>
        </w:tc>
        <w:tc>
          <w:tcPr>
            <w:tcW w:w="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jc w:val="center"/>
              <w:rPr>
                <w:rFonts w:hint="eastAsia" w:ascii="仿宋_GB2312" w:hAnsi="宋体" w:eastAsia="仿宋_GB2312"/>
                <w:color w:val="000000"/>
                <w:szCs w:val="21"/>
                <w:lang w:val="en-US" w:eastAsia="zh-CN"/>
              </w:rPr>
            </w:pPr>
          </w:p>
        </w:tc>
        <w:tc>
          <w:tcPr>
            <w:tcW w:w="2267"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14、依法纳税、管理分支机构、建立执业风险、事业发展等基金及使用情况（6分）。</w:t>
            </w:r>
          </w:p>
        </w:tc>
        <w:tc>
          <w:tcPr>
            <w:tcW w:w="4267"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是否依法纳税，按照规定对分支机构进行管理，是否建立提取事业发展基金，是否按规定为律师和辅助人员购买社会保险；是否建立提取律师执业风险（省律协已统一为律师购买）。</w:t>
            </w:r>
          </w:p>
        </w:tc>
        <w:tc>
          <w:tcPr>
            <w:tcW w:w="3773"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未按照规定纳税扣1分；未提取事业发展基金扣3分；未按规定为律师和辅助人员购买社会保险扣2分。</w:t>
            </w:r>
          </w:p>
        </w:tc>
        <w:tc>
          <w:tcPr>
            <w:tcW w:w="2803"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查看纳税凭证、设立基金财务报表、购买保险凭证。</w:t>
            </w:r>
          </w:p>
        </w:tc>
        <w:tc>
          <w:tcPr>
            <w:tcW w:w="750" w:type="dxa"/>
            <w:vAlign w:val="center"/>
          </w:tcPr>
          <w:p>
            <w:pPr>
              <w:jc w:val="center"/>
            </w:pPr>
          </w:p>
        </w:tc>
        <w:tc>
          <w:tcPr>
            <w:tcW w:w="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20" w:type="dxa"/>
            <w:vMerge w:val="continue"/>
            <w:vAlign w:val="center"/>
          </w:tcPr>
          <w:p>
            <w:pPr>
              <w:jc w:val="center"/>
              <w:rPr>
                <w:rFonts w:hint="eastAsia" w:ascii="仿宋_GB2312" w:hAnsi="宋体" w:eastAsia="仿宋_GB2312"/>
                <w:color w:val="000000"/>
                <w:szCs w:val="21"/>
                <w:lang w:val="en-US" w:eastAsia="zh-CN"/>
              </w:rPr>
            </w:pPr>
          </w:p>
        </w:tc>
        <w:tc>
          <w:tcPr>
            <w:tcW w:w="2267"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15、管理聘用律师和辅助人员及律师执业档案、诚信档案建立情况（5分）。</w:t>
            </w:r>
          </w:p>
        </w:tc>
        <w:tc>
          <w:tcPr>
            <w:tcW w:w="4267"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与聘用律师、实习律师、辅助人员等签订合法的聘用合同，律师、辅助人员聘用合同是否一人一份，律师执业档案、诚信档案是否一人一档（5分）。</w:t>
            </w:r>
          </w:p>
        </w:tc>
        <w:tc>
          <w:tcPr>
            <w:tcW w:w="3773"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有1人没有聘用合同的扣1分；2人以上没有聘用合同的扣2分；未建立律师执业诚信档案扣3分；有档案，内容不齐全扣1分（内容包含年度个人总结、律师年度考核表、奖惩材料、转所资料等）。</w:t>
            </w:r>
          </w:p>
        </w:tc>
        <w:tc>
          <w:tcPr>
            <w:tcW w:w="2803"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查看制度、聘用合同、执业档案、诚信档案，谈话了解。</w:t>
            </w:r>
          </w:p>
        </w:tc>
        <w:tc>
          <w:tcPr>
            <w:tcW w:w="750" w:type="dxa"/>
            <w:vAlign w:val="center"/>
          </w:tcPr>
          <w:p>
            <w:pPr>
              <w:jc w:val="center"/>
            </w:pPr>
          </w:p>
        </w:tc>
        <w:tc>
          <w:tcPr>
            <w:tcW w:w="705" w:type="dxa"/>
            <w:vAlign w:val="center"/>
          </w:tcPr>
          <w:p>
            <w:pPr>
              <w:jc w:val="center"/>
            </w:pPr>
          </w:p>
        </w:tc>
      </w:tr>
    </w:tbl>
    <w:tbl>
      <w:tblPr>
        <w:tblStyle w:val="4"/>
        <w:tblpPr w:leftFromText="180" w:rightFromText="180" w:vertAnchor="page" w:horzAnchor="page" w:tblpX="848" w:tblpY="1404"/>
        <w:tblOverlap w:val="never"/>
        <w:tblW w:w="15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280"/>
        <w:gridCol w:w="4226"/>
        <w:gridCol w:w="3774"/>
        <w:gridCol w:w="2826"/>
        <w:gridCol w:w="75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47" w:type="dxa"/>
            <w:vAlign w:val="center"/>
          </w:tcPr>
          <w:p>
            <w:pPr>
              <w:jc w:val="center"/>
              <w:rPr>
                <w:rFonts w:hint="eastAsia" w:ascii="黑体" w:eastAsia="黑体"/>
                <w:color w:val="000000"/>
                <w:sz w:val="21"/>
                <w:szCs w:val="21"/>
              </w:rPr>
            </w:pPr>
            <w:r>
              <w:rPr>
                <w:rFonts w:hint="eastAsia" w:ascii="黑体" w:eastAsia="黑体"/>
                <w:color w:val="000000"/>
                <w:sz w:val="21"/>
                <w:szCs w:val="21"/>
                <w:lang w:val="en-US" w:eastAsia="zh-CN"/>
              </w:rPr>
              <w:t>类别</w:t>
            </w:r>
          </w:p>
        </w:tc>
        <w:tc>
          <w:tcPr>
            <w:tcW w:w="2280" w:type="dxa"/>
            <w:vAlign w:val="center"/>
          </w:tcPr>
          <w:p>
            <w:pPr>
              <w:jc w:val="center"/>
            </w:pPr>
            <w:r>
              <w:rPr>
                <w:rFonts w:hint="eastAsia" w:ascii="黑体" w:eastAsia="黑体"/>
                <w:color w:val="000000"/>
                <w:sz w:val="21"/>
                <w:szCs w:val="21"/>
              </w:rPr>
              <w:t>项目和分值</w:t>
            </w:r>
          </w:p>
        </w:tc>
        <w:tc>
          <w:tcPr>
            <w:tcW w:w="4226" w:type="dxa"/>
            <w:vAlign w:val="center"/>
          </w:tcPr>
          <w:p>
            <w:pPr>
              <w:jc w:val="center"/>
            </w:pPr>
            <w:r>
              <w:rPr>
                <w:rFonts w:hint="eastAsia" w:ascii="黑体" w:eastAsia="黑体"/>
                <w:color w:val="000000"/>
                <w:sz w:val="21"/>
                <w:szCs w:val="21"/>
              </w:rPr>
              <w:t>基础标准</w:t>
            </w:r>
          </w:p>
        </w:tc>
        <w:tc>
          <w:tcPr>
            <w:tcW w:w="3774" w:type="dxa"/>
            <w:vAlign w:val="center"/>
          </w:tcPr>
          <w:p>
            <w:pPr>
              <w:jc w:val="center"/>
            </w:pPr>
            <w:r>
              <w:rPr>
                <w:rFonts w:hint="eastAsia" w:ascii="黑体" w:eastAsia="黑体"/>
                <w:color w:val="000000"/>
                <w:sz w:val="21"/>
                <w:szCs w:val="21"/>
              </w:rPr>
              <w:t>加（扣）分标准</w:t>
            </w:r>
          </w:p>
        </w:tc>
        <w:tc>
          <w:tcPr>
            <w:tcW w:w="2826" w:type="dxa"/>
            <w:vAlign w:val="center"/>
          </w:tcPr>
          <w:p>
            <w:pPr>
              <w:jc w:val="center"/>
            </w:pPr>
            <w:r>
              <w:rPr>
                <w:rFonts w:hint="eastAsia" w:ascii="黑体" w:eastAsia="黑体"/>
                <w:color w:val="000000"/>
                <w:sz w:val="21"/>
                <w:szCs w:val="21"/>
              </w:rPr>
              <w:t>考核方式</w:t>
            </w:r>
          </w:p>
        </w:tc>
        <w:tc>
          <w:tcPr>
            <w:tcW w:w="750" w:type="dxa"/>
            <w:vAlign w:val="center"/>
          </w:tcPr>
          <w:p>
            <w:pPr>
              <w:jc w:val="center"/>
              <w:rPr>
                <w:rFonts w:hint="eastAsia" w:ascii="黑体" w:eastAsia="黑体"/>
                <w:color w:val="000000"/>
                <w:sz w:val="21"/>
                <w:szCs w:val="21"/>
                <w:lang w:val="en-US" w:eastAsia="zh-CN"/>
              </w:rPr>
            </w:pPr>
            <w:r>
              <w:rPr>
                <w:rFonts w:hint="eastAsia" w:ascii="黑体" w:eastAsia="黑体"/>
                <w:color w:val="000000"/>
                <w:sz w:val="21"/>
                <w:szCs w:val="21"/>
                <w:lang w:val="en-US" w:eastAsia="zh-CN"/>
              </w:rPr>
              <w:t>自评分值</w:t>
            </w:r>
          </w:p>
        </w:tc>
        <w:tc>
          <w:tcPr>
            <w:tcW w:w="705" w:type="dxa"/>
            <w:vAlign w:val="center"/>
          </w:tcPr>
          <w:p>
            <w:pPr>
              <w:jc w:val="center"/>
              <w:rPr>
                <w:rFonts w:hint="eastAsia" w:ascii="黑体" w:eastAsia="黑体"/>
                <w:color w:val="000000"/>
                <w:sz w:val="21"/>
                <w:szCs w:val="21"/>
                <w:lang w:val="en-US" w:eastAsia="zh-CN"/>
              </w:rPr>
            </w:pPr>
            <w:r>
              <w:rPr>
                <w:rFonts w:hint="eastAsia" w:ascii="黑体" w:eastAsia="黑体"/>
                <w:color w:val="000000"/>
                <w:sz w:val="21"/>
                <w:szCs w:val="21"/>
                <w:lang w:val="en-US" w:eastAsia="zh-CN"/>
              </w:rPr>
              <w:t>考核分值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47" w:type="dxa"/>
            <w:vMerge w:val="restart"/>
            <w:textDirection w:val="tbRlV"/>
            <w:vAlign w:val="center"/>
          </w:tcPr>
          <w:p>
            <w:pPr>
              <w:ind w:left="113" w:right="113"/>
              <w:jc w:val="center"/>
              <w:rPr>
                <w:rFonts w:hint="eastAsia" w:ascii="仿宋_GB2312" w:hAnsi="宋体" w:eastAsia="仿宋_GB2312"/>
                <w:color w:val="000000"/>
                <w:szCs w:val="21"/>
                <w:lang w:val="en-US" w:eastAsia="zh-CN"/>
              </w:rPr>
            </w:pPr>
            <w:r>
              <w:rPr>
                <w:rFonts w:hint="eastAsia" w:ascii="黑体" w:eastAsia="黑体"/>
                <w:b/>
                <w:color w:val="000000"/>
                <w:sz w:val="28"/>
                <w:szCs w:val="28"/>
                <w:lang w:val="en-US" w:eastAsia="zh-CN"/>
              </w:rPr>
              <w:t>四</w:t>
            </w:r>
            <w:r>
              <w:rPr>
                <w:rFonts w:hint="eastAsia" w:ascii="黑体" w:eastAsia="黑体"/>
                <w:b/>
                <w:color w:val="000000"/>
                <w:sz w:val="28"/>
                <w:szCs w:val="28"/>
              </w:rPr>
              <w:t xml:space="preserve"> </w:t>
            </w:r>
            <w:r>
              <w:rPr>
                <w:rFonts w:hint="eastAsia" w:ascii="黑体" w:eastAsia="黑体"/>
                <w:b/>
                <w:color w:val="000000"/>
                <w:sz w:val="28"/>
                <w:szCs w:val="28"/>
                <w:lang w:val="en-US" w:eastAsia="zh-CN"/>
              </w:rPr>
              <w:t>内 部 管 理 情 况</w:t>
            </w:r>
            <w:r>
              <w:rPr>
                <w:rFonts w:hint="eastAsia" w:ascii="黑体" w:eastAsia="黑体"/>
                <w:b/>
                <w:color w:val="000000"/>
                <w:sz w:val="28"/>
                <w:szCs w:val="28"/>
              </w:rPr>
              <w:t xml:space="preserve"> </w:t>
            </w:r>
            <w:r>
              <w:rPr>
                <w:rFonts w:hint="eastAsia" w:ascii="黑体" w:eastAsia="黑体"/>
                <w:b/>
                <w:color w:val="000000"/>
                <w:sz w:val="28"/>
                <w:szCs w:val="28"/>
                <w:lang w:val="en-US" w:eastAsia="zh-CN"/>
              </w:rPr>
              <w:t>50</w:t>
            </w:r>
            <w:r>
              <w:rPr>
                <w:rFonts w:hint="eastAsia" w:ascii="黑体" w:eastAsia="黑体"/>
                <w:b/>
                <w:color w:val="000000"/>
                <w:sz w:val="28"/>
                <w:szCs w:val="28"/>
              </w:rPr>
              <w:t>分</w:t>
            </w:r>
          </w:p>
        </w:tc>
        <w:tc>
          <w:tcPr>
            <w:tcW w:w="2280"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16、管理申请律师执业人员实习情况（5分）。</w:t>
            </w:r>
          </w:p>
        </w:tc>
        <w:tc>
          <w:tcPr>
            <w:tcW w:w="4226"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实习人员日常管理规范，有专人指导，实习人员做到月书面总结、指导老师有指导意见、月书面点评（5分）。</w:t>
            </w:r>
          </w:p>
        </w:tc>
        <w:tc>
          <w:tcPr>
            <w:tcW w:w="3774"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无实习人员的本项不扣分。为实习人员出具不真实证明的扣3分，实习人员没有月书面总结的每月次扣0.5分，指导老师没有指导意见、月书面点评的每月次扣0.5分。</w:t>
            </w:r>
          </w:p>
        </w:tc>
        <w:tc>
          <w:tcPr>
            <w:tcW w:w="2826"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查看实习人员工作记录，谈话了解、向律协秘书处了解。</w:t>
            </w:r>
          </w:p>
        </w:tc>
        <w:tc>
          <w:tcPr>
            <w:tcW w:w="750" w:type="dxa"/>
            <w:vAlign w:val="center"/>
          </w:tcPr>
          <w:p>
            <w:pPr>
              <w:jc w:val="center"/>
            </w:pPr>
          </w:p>
        </w:tc>
        <w:tc>
          <w:tcPr>
            <w:tcW w:w="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47" w:type="dxa"/>
            <w:vMerge w:val="continue"/>
            <w:vAlign w:val="center"/>
          </w:tcPr>
          <w:p>
            <w:pPr>
              <w:jc w:val="center"/>
              <w:rPr>
                <w:rFonts w:hint="eastAsia" w:ascii="仿宋_GB2312" w:hAnsi="宋体" w:eastAsia="仿宋_GB2312"/>
                <w:color w:val="000000"/>
                <w:szCs w:val="21"/>
                <w:lang w:val="en-US" w:eastAsia="zh-CN"/>
              </w:rPr>
            </w:pPr>
          </w:p>
        </w:tc>
        <w:tc>
          <w:tcPr>
            <w:tcW w:w="2280"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17、档案室设立、业务档案归档、管理情况（5分）。</w:t>
            </w:r>
          </w:p>
        </w:tc>
        <w:tc>
          <w:tcPr>
            <w:tcW w:w="4226"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有专门的档案室，业务档案归档率是否达到90%以上，归档档案有专人审核（5分）。</w:t>
            </w:r>
          </w:p>
        </w:tc>
        <w:tc>
          <w:tcPr>
            <w:tcW w:w="3774"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没有专设档案室扣3分；业务档案归档率达不到90%扣3分；归档档案无专人审核扣1分；未使用律协监制档案的直接扣5分。</w:t>
            </w:r>
          </w:p>
        </w:tc>
        <w:tc>
          <w:tcPr>
            <w:tcW w:w="2826"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查看档案室、档案资料。重点抽查转所律师归档情况。</w:t>
            </w:r>
          </w:p>
        </w:tc>
        <w:tc>
          <w:tcPr>
            <w:tcW w:w="750" w:type="dxa"/>
            <w:vAlign w:val="center"/>
          </w:tcPr>
          <w:p>
            <w:pPr>
              <w:jc w:val="center"/>
            </w:pPr>
          </w:p>
        </w:tc>
        <w:tc>
          <w:tcPr>
            <w:tcW w:w="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47" w:type="dxa"/>
            <w:vMerge w:val="continue"/>
            <w:vAlign w:val="center"/>
          </w:tcPr>
          <w:p>
            <w:pPr>
              <w:jc w:val="center"/>
              <w:rPr>
                <w:rFonts w:hint="eastAsia" w:ascii="仿宋_GB2312" w:hAnsi="宋体" w:eastAsia="仿宋_GB2312"/>
                <w:color w:val="000000"/>
                <w:szCs w:val="21"/>
                <w:lang w:val="en-US" w:eastAsia="zh-CN"/>
              </w:rPr>
            </w:pPr>
          </w:p>
        </w:tc>
        <w:tc>
          <w:tcPr>
            <w:tcW w:w="2280"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18、律所硬件建设、场所面积、接待室设立；章程、合伙制度落实、信息化建设情况（5分）。</w:t>
            </w:r>
          </w:p>
        </w:tc>
        <w:tc>
          <w:tcPr>
            <w:tcW w:w="4226"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律所硬件建设到位，有适宜律师执业的办公场所，具备律师职业办公区、业务洽谈区、档案室、财务室等基本功能，能够按照章程、合伙协议开展工作，有律所网站、微信公众号等宣传平台，及时向律协、管理部门推送信息（5分）。</w:t>
            </w:r>
          </w:p>
        </w:tc>
        <w:tc>
          <w:tcPr>
            <w:tcW w:w="3774"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律所设在住宅楼的扣1分；硬件设施陈旧的扣0.5分；场所不符合条件，律师执业办公区、业务洽谈区、档案室、财务室等不符合条件扣0.5-1.5分；未建立律所网站的扣1分；未建立微信公众号宣传平台的扣1分。</w:t>
            </w:r>
          </w:p>
        </w:tc>
        <w:tc>
          <w:tcPr>
            <w:tcW w:w="2826"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实地察看、查阅相关材料。</w:t>
            </w:r>
          </w:p>
        </w:tc>
        <w:tc>
          <w:tcPr>
            <w:tcW w:w="750" w:type="dxa"/>
            <w:vAlign w:val="center"/>
          </w:tcPr>
          <w:p>
            <w:pPr>
              <w:jc w:val="center"/>
            </w:pPr>
          </w:p>
        </w:tc>
        <w:tc>
          <w:tcPr>
            <w:tcW w:w="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vAlign w:val="center"/>
          </w:tcPr>
          <w:p>
            <w:pPr>
              <w:jc w:val="center"/>
              <w:rPr>
                <w:rFonts w:hint="eastAsia" w:ascii="仿宋_GB2312" w:hAnsi="宋体" w:eastAsia="仿宋_GB2312"/>
                <w:color w:val="000000"/>
                <w:szCs w:val="21"/>
                <w:lang w:val="en-US" w:eastAsia="zh-CN"/>
              </w:rPr>
            </w:pPr>
          </w:p>
        </w:tc>
        <w:tc>
          <w:tcPr>
            <w:tcW w:w="2280"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加分项目（20分）</w:t>
            </w:r>
          </w:p>
        </w:tc>
        <w:tc>
          <w:tcPr>
            <w:tcW w:w="4226" w:type="dxa"/>
            <w:vAlign w:val="center"/>
          </w:tcPr>
          <w:p>
            <w:pPr>
              <w:widowControl w:val="0"/>
              <w:wordWrap/>
              <w:adjustRightInd/>
              <w:snapToGrid/>
              <w:spacing w:line="240" w:lineRule="exact"/>
              <w:ind w:firstLine="720" w:firstLineChars="400"/>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所有加分最多20分</w:t>
            </w:r>
          </w:p>
        </w:tc>
        <w:tc>
          <w:tcPr>
            <w:tcW w:w="3774" w:type="dxa"/>
            <w:vAlign w:val="center"/>
          </w:tcPr>
          <w:p>
            <w:pPr>
              <w:widowControl w:val="0"/>
              <w:numPr>
                <w:ilvl w:val="0"/>
                <w:numId w:val="1"/>
              </w:numPr>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考核周期党支部受到县、市、省、国家级表彰每次分别加2分、3分、4分、5分；</w:t>
            </w:r>
          </w:p>
          <w:p>
            <w:pPr>
              <w:widowControl w:val="0"/>
              <w:numPr>
                <w:ilvl w:val="0"/>
                <w:numId w:val="0"/>
              </w:numPr>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2、考核周期内律所受到县、市、省、国家级表彰每次分别加2分、3分、4分、5分。律师受到县、市、省、国家级表彰每人次分别加0.5分、1分、2分、3分；</w:t>
            </w:r>
          </w:p>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3、有律所网站、公众号或所管理系统加1分；</w:t>
            </w:r>
          </w:p>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4、集体（个人）独立参演律协晚会节目律所每个节目加4分；联合参演的每个节目加2分，个人参演的每个节目加1分。</w:t>
            </w:r>
          </w:p>
        </w:tc>
        <w:tc>
          <w:tcPr>
            <w:tcW w:w="2826" w:type="dxa"/>
            <w:vAlign w:val="center"/>
          </w:tcPr>
          <w:p>
            <w:pPr>
              <w:widowControl w:val="0"/>
              <w:wordWrap/>
              <w:adjustRightInd/>
              <w:snapToGrid/>
              <w:spacing w:line="240" w:lineRule="exact"/>
              <w:jc w:val="lef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查看网站、公众号或律所管理系统、表彰文件、证书、牌匾、节目单。</w:t>
            </w:r>
          </w:p>
        </w:tc>
        <w:tc>
          <w:tcPr>
            <w:tcW w:w="750" w:type="dxa"/>
            <w:vAlign w:val="center"/>
          </w:tcPr>
          <w:p>
            <w:pPr>
              <w:jc w:val="center"/>
            </w:pPr>
          </w:p>
        </w:tc>
        <w:tc>
          <w:tcPr>
            <w:tcW w:w="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47" w:type="dxa"/>
            <w:vMerge w:val="continue"/>
            <w:vAlign w:val="center"/>
          </w:tcPr>
          <w:p>
            <w:pPr>
              <w:jc w:val="center"/>
              <w:rPr>
                <w:rFonts w:hint="eastAsia" w:ascii="仿宋_GB2312" w:hAnsi="宋体" w:eastAsia="仿宋_GB2312"/>
                <w:color w:val="000000"/>
                <w:szCs w:val="21"/>
                <w:lang w:val="en-US" w:eastAsia="zh-CN"/>
              </w:rPr>
            </w:pPr>
          </w:p>
        </w:tc>
        <w:tc>
          <w:tcPr>
            <w:tcW w:w="2280" w:type="dxa"/>
            <w:vAlign w:val="center"/>
          </w:tcPr>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备注</w:t>
            </w:r>
          </w:p>
        </w:tc>
        <w:tc>
          <w:tcPr>
            <w:tcW w:w="10826" w:type="dxa"/>
            <w:gridSpan w:val="3"/>
            <w:vAlign w:val="center"/>
          </w:tcPr>
          <w:p>
            <w:pPr>
              <w:numPr>
                <w:ilvl w:val="0"/>
                <w:numId w:val="2"/>
              </w:num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若考核时被投诉律师转所的，以违法违纪行为发生时间确定被扣分律师事务所；</w:t>
            </w:r>
          </w:p>
          <w:p>
            <w:pPr>
              <w:numPr>
                <w:ilvl w:val="0"/>
                <w:numId w:val="2"/>
              </w:num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扣分项目扣完本项总分为止；</w:t>
            </w:r>
          </w:p>
          <w:p>
            <w:pPr>
              <w:numPr>
                <w:ilvl w:val="0"/>
                <w:numId w:val="2"/>
              </w:num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考核周期指上年度6月1日至本年度5</w:t>
            </w:r>
            <w:bookmarkStart w:id="0" w:name="_GoBack"/>
            <w:bookmarkEnd w:id="0"/>
            <w:r>
              <w:rPr>
                <w:rFonts w:hint="eastAsia" w:ascii="仿宋_GB2312" w:hAnsi="宋体" w:eastAsia="仿宋_GB2312"/>
                <w:color w:val="000000"/>
                <w:sz w:val="18"/>
                <w:szCs w:val="18"/>
                <w:lang w:val="en-US" w:eastAsia="zh-CN"/>
              </w:rPr>
              <w:t>月31日；</w:t>
            </w:r>
          </w:p>
          <w:p>
            <w:pPr>
              <w:numPr>
                <w:ilvl w:val="0"/>
                <w:numId w:val="2"/>
              </w:num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考核采用百分制，60以上为合格。</w:t>
            </w:r>
          </w:p>
          <w:p>
            <w:pPr>
              <w:jc w:val="left"/>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入所考核总分须考核组成员、被考核所司法局管理人员、被考核律所主任共同签字确认。</w:t>
            </w:r>
          </w:p>
        </w:tc>
        <w:tc>
          <w:tcPr>
            <w:tcW w:w="750" w:type="dxa"/>
            <w:vAlign w:val="center"/>
          </w:tcPr>
          <w:p>
            <w:pPr>
              <w:jc w:val="center"/>
            </w:pPr>
          </w:p>
        </w:tc>
        <w:tc>
          <w:tcPr>
            <w:tcW w:w="705" w:type="dxa"/>
            <w:vAlign w:val="center"/>
          </w:tcPr>
          <w:p>
            <w:pPr>
              <w:jc w:val="center"/>
            </w:pPr>
          </w:p>
        </w:tc>
      </w:tr>
    </w:tbl>
    <w:p/>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YB44/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q+4swJSxd++fH98vP35dc3&#10;tkz29AEr6noMDzBlSGHSOrRg05tUsCFber5aqobIJBWX69V6XZLbks7mhHCKp88DYLxT3rIU1Bzo&#10;zrKV4vQR49g6t6Rpzt9qY6guKuP+KhBmqhSJ8cgxRXHYDxPxvW/OpLan6665o+3mzNw7cjNtxhzA&#10;HOzn4BhAHzqitsy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gHjj8MBAACPAwAADgAAAAAAAAABACAAAAAfAQAAZHJzL2Uyb0RvYy54bWxQ&#10;SwUGAAAAAAYABgBZAQAAVA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3CE88"/>
    <w:multiLevelType w:val="singleLevel"/>
    <w:tmpl w:val="9D63CE88"/>
    <w:lvl w:ilvl="0" w:tentative="0">
      <w:start w:val="1"/>
      <w:numFmt w:val="decimal"/>
      <w:suff w:val="nothing"/>
      <w:lvlText w:val="%1、"/>
      <w:lvlJc w:val="left"/>
    </w:lvl>
  </w:abstractNum>
  <w:abstractNum w:abstractNumId="1">
    <w:nsid w:val="29C51EFA"/>
    <w:multiLevelType w:val="singleLevel"/>
    <w:tmpl w:val="29C51EF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970CF"/>
    <w:rsid w:val="1B7500BB"/>
    <w:rsid w:val="790970CF"/>
    <w:rsid w:val="7FD30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2021-05-23T05:35:00Z</dcterms:created>
  <dc:creator>DELL</dc:creator>
  <cp:lastModifiedBy>乌米</cp:lastModifiedBy>
  <dcterms:modified xsi:type="dcterms:W3CDTF">2021-05-24T09:06:16Z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0D8ABB8378AC49BBBA53B755F2FE5FBF</vt:lpwstr>
  </property>
</Properties>
</file>