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目前，国内疫情防控工作取得了阶段性胜利。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培训地点：4楼一号会议室；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CDC50B3"/>
    <w:rsid w:val="24E35296"/>
    <w:rsid w:val="34C42E30"/>
    <w:rsid w:val="35D14CD6"/>
    <w:rsid w:val="3DDA01C5"/>
    <w:rsid w:val="40676884"/>
    <w:rsid w:val="406902DC"/>
    <w:rsid w:val="4FE10BDF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2021-05-27T06:05:46Z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CD25BDBBD952445E8F544411DB61A0E7</vt:lpwstr>
  </property>
</Properties>
</file>