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Style w:val="7"/>
          <w:rFonts w:hint="eastAsia" w:ascii="宋体" w:hAnsi="宋体" w:eastAsia="宋体" w:cs="宋体"/>
          <w:i w:val="0"/>
          <w:iCs w:val="0"/>
          <w:caps w:val="0"/>
          <w:color w:val="000000" w:themeColor="text1"/>
          <w:spacing w:val="0"/>
          <w:sz w:val="44"/>
          <w:szCs w:val="44"/>
          <w:highlight w:val="none"/>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附件：优秀法律文书名单（50篇）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黑体" w:hAnsi="黑体" w:eastAsia="黑体" w:cs="黑体"/>
          <w:b/>
          <w:bCs/>
          <w:color w:val="000000" w:themeColor="text1"/>
          <w:sz w:val="32"/>
          <w:szCs w:val="32"/>
          <w:highlight w:val="none"/>
          <w:lang w:eastAsia="zh-CN"/>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一等奖</w:t>
      </w:r>
      <w:r>
        <w:rPr>
          <w:rFonts w:hint="eastAsia" w:ascii="黑体" w:hAnsi="黑体" w:eastAsia="黑体" w:cs="黑体"/>
          <w:b/>
          <w:bCs/>
          <w:color w:val="000000" w:themeColor="text1"/>
          <w:sz w:val="32"/>
          <w:szCs w:val="32"/>
          <w:highlight w:val="none"/>
          <w:lang w:eastAsia="zh-CN"/>
          <w14:textFill>
            <w14:solidFill>
              <w14:schemeClr w14:val="tx1"/>
            </w14:solidFill>
          </w14:textFill>
        </w:rPr>
        <w:t>（</w:t>
      </w: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10篇</w:t>
      </w:r>
      <w:r>
        <w:rPr>
          <w:rFonts w:hint="eastAsia" w:ascii="黑体" w:hAnsi="黑体" w:eastAsia="黑体" w:cs="黑体"/>
          <w:b/>
          <w:bCs/>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刑事类（2篇）</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1.《关于××电业股份有限公司涉嫌合同诈骗罪案件审查起诉阶段的辩护意见》</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作者：河南国基律师事务所  袁雪</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2.《杨XX涉嫌虚开发票罪、骗取出口退税罪的辩护词》</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华文楷体" w:hAnsi="华文楷体" w:eastAsia="华文楷体" w:cs="华文楷体"/>
          <w:b/>
          <w:bCs/>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作者：河南天基律师事务所</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 xml:space="preserve"> 王伟星 刘常松</w:t>
      </w:r>
    </w:p>
    <w:p>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民商类（6篇）</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1.《A公司、自然人乙、丙与C公司、自然人甲股权转让与合作开发房地产合同纠纷代理词》</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作者：北京市天同（郑州）律师事务所  赵剑英 王辉 吕佳坤</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2.《甲公司与乙、丙公司建设工程施工合同纠纷代理词》</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作者：北京观韬中茂（郑州）律师事务所  何红艺 夏伟华</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3.《申请人刘某凡与被申请人杨某桃、第三人（被执行人）河南某某置业有限公司执行异议之诉代理词》</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作者：上海锦天城（郑州）律师事务所  孙银蕾 边婷</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4.《XX科技集团有限公司诉郑州XX置业有限公司委托代建合同纠纷再审代理词》</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作者：河南博云天律师事务所</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 xml:space="preserve"> 冯俨祯 栾萌</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5.《原告XX银行股份有限公司与被告中国XX银行股份有限公司、北京XX会计师事务所（特殊普通合伙）、XXX国际信用评级有限责任公司证券虚假陈述责任纠纷代理词》</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作者：河南金学苑律师事务所  马良 陈豪鑫</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6.《黎某与A公司不当得利纠纷代理词》</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作者：金博大律师事务所  张景霞 李明泽</w:t>
      </w:r>
    </w:p>
    <w:p>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行政类（1篇）</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原告XX县建设公司诉XX县人民政府</w:t>
      </w:r>
      <w:r>
        <w:rPr>
          <w:rFonts w:hint="eastAsia" w:ascii="仿宋" w:hAnsi="仿宋" w:eastAsia="仿宋" w:cs="仿宋"/>
          <w:b w:val="0"/>
          <w:bCs w:val="0"/>
          <w:color w:val="000000" w:themeColor="text1"/>
          <w:sz w:val="32"/>
          <w:szCs w:val="32"/>
          <w:highlight w:val="none"/>
          <w14:textFill>
            <w14:solidFill>
              <w14:schemeClr w14:val="tx1"/>
            </w14:solidFill>
          </w14:textFill>
        </w:rPr>
        <w:t>行政协议</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纠纷案件</w:t>
      </w:r>
      <w:r>
        <w:rPr>
          <w:rFonts w:hint="eastAsia" w:ascii="仿宋" w:hAnsi="仿宋" w:eastAsia="仿宋" w:cs="仿宋"/>
          <w:b w:val="0"/>
          <w:bCs w:val="0"/>
          <w:color w:val="000000" w:themeColor="text1"/>
          <w:sz w:val="32"/>
          <w:szCs w:val="32"/>
          <w:highlight w:val="none"/>
          <w14:textFill>
            <w14:solidFill>
              <w14:schemeClr w14:val="tx1"/>
            </w14:solidFill>
          </w14:textFill>
        </w:rPr>
        <w:t>代理词</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作者：河南仟问律师事务所  高晓星 吴真真</w:t>
      </w:r>
      <w:r>
        <w:rPr>
          <w:rFonts w:hint="eastAsia" w:ascii="仿宋" w:hAnsi="仿宋" w:eastAsia="仿宋" w:cs="仿宋"/>
          <w:b w:val="0"/>
          <w:bCs w:val="0"/>
          <w:color w:val="000000" w:themeColor="text1"/>
          <w:sz w:val="32"/>
          <w:szCs w:val="32"/>
          <w:highlight w:val="none"/>
          <w14:textFill>
            <w14:solidFill>
              <w14:schemeClr w14:val="tx1"/>
            </w14:solidFill>
          </w14:textFill>
        </w:rPr>
        <w:tab/>
      </w:r>
      <w:r>
        <w:rPr>
          <w:rFonts w:hint="eastAsia" w:ascii="仿宋" w:hAnsi="仿宋" w:eastAsia="仿宋" w:cs="仿宋"/>
          <w:b w:val="0"/>
          <w:bCs w:val="0"/>
          <w:color w:val="000000" w:themeColor="text1"/>
          <w:sz w:val="32"/>
          <w:szCs w:val="32"/>
          <w:highlight w:val="none"/>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非诉类（1篇）</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14:textFill>
            <w14:solidFill>
              <w14:schemeClr w14:val="tx1"/>
            </w14:solidFill>
          </w14:textFill>
        </w:rPr>
        <w:t>A公司向不特定对象发行可转换债券律师工作报告</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作者：河南仟问律师事务所  高恰 袁凌音</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360" w:lineRule="auto"/>
        <w:ind w:firstLine="643" w:firstLineChars="200"/>
        <w:jc w:val="left"/>
        <w:rPr>
          <w:rFonts w:hint="eastAsia" w:ascii="华文楷体" w:hAnsi="华文楷体" w:eastAsia="华文楷体" w:cs="华文楷体"/>
          <w:b/>
          <w:bCs/>
          <w:color w:val="000000" w:themeColor="text1"/>
          <w:sz w:val="32"/>
          <w:szCs w:val="32"/>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二等奖（15篇）</w:t>
      </w:r>
    </w:p>
    <w:p>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刑事类（4篇）</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1.《齐XX涉嫌合同诈骗罪案件辩护词》</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作者：河南博云天律师事务所  冯俨祯 赵飞</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2.《席XX电信诈骗案件辩护词》</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作者：河南路德律师事务所  翟慎海 谢依林</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3.《张XX涉嫌贷款诈骗罪的辩护意见》</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作者：北京天平（郑州）律师事务所  潘行</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4.《马XX涉嫌强奸案件一审重审辩护词》</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作者：金博大律师事务所  杜紫阳</w:t>
      </w:r>
    </w:p>
    <w:p>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民商类（8篇）</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1.《王XX与薛XX委托合同纠纷代理词》</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作者：河南大周律师事务所  王高飞</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2.《冯XX与高XX、王XX、吴XX案外人执行异议之诉代理词》</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作者：河南兆维律师事务所  胡梦蝶</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3.《XX与XX股权转让纠纷代理词》</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作者：北京市盈科（郑州）律师事务所  江伟</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4.《乔XX与郑州XX商业运营管理有限公司房屋租赁合同纠纷代理意见》</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default"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作者：河南师道律师事务所  郭超毅、陈梦菲</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5.《XX公司与XX公司建设工程施工合同纠纷代理词》</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作者：河南亚太人律师事务所  刘建国</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6.《XX公司与XX民间借贷纠纷代理词》</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作者：河南仟问律师事务所  施相传</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7.《XX公司与XX公司建设工程施工合同纠纷代理词》</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作者：上海市建纬(郑州)律师事务所</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吕姣姣</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8.《关于宋某国与南通某城建设集团有限公司、中国某建集团河南工程有限公司、某华（上蔡）新能源有限责任公司建设工程施工合同纠纷代理词》</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bCs/>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作者：河南修谨律师事务所  毛明星</w:t>
      </w:r>
    </w:p>
    <w:p>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行政类（2篇）</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14:textFill>
            <w14:solidFill>
              <w14:schemeClr w14:val="tx1"/>
            </w14:solidFill>
          </w14:textFill>
        </w:rPr>
        <w:t>南阳</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XX</w:t>
      </w:r>
      <w:r>
        <w:rPr>
          <w:rFonts w:hint="eastAsia" w:ascii="仿宋" w:hAnsi="仿宋" w:eastAsia="仿宋" w:cs="仿宋"/>
          <w:b w:val="0"/>
          <w:bCs w:val="0"/>
          <w:color w:val="000000" w:themeColor="text1"/>
          <w:sz w:val="32"/>
          <w:szCs w:val="32"/>
          <w:highlight w:val="none"/>
          <w14:textFill>
            <w14:solidFill>
              <w14:schemeClr w14:val="tx1"/>
            </w14:solidFill>
          </w14:textFill>
        </w:rPr>
        <w:t>公司诉</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XX</w:t>
      </w:r>
      <w:r>
        <w:rPr>
          <w:rFonts w:hint="eastAsia" w:ascii="仿宋" w:hAnsi="仿宋" w:eastAsia="仿宋" w:cs="仿宋"/>
          <w:b w:val="0"/>
          <w:bCs w:val="0"/>
          <w:color w:val="000000" w:themeColor="text1"/>
          <w:sz w:val="32"/>
          <w:szCs w:val="32"/>
          <w:highlight w:val="none"/>
          <w14:textFill>
            <w14:solidFill>
              <w14:schemeClr w14:val="tx1"/>
            </w14:solidFill>
          </w14:textFill>
        </w:rPr>
        <w:t>市人民政府、</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XX</w:t>
      </w:r>
      <w:r>
        <w:rPr>
          <w:rFonts w:hint="eastAsia" w:ascii="仿宋" w:hAnsi="仿宋" w:eastAsia="仿宋" w:cs="仿宋"/>
          <w:b w:val="0"/>
          <w:bCs w:val="0"/>
          <w:color w:val="000000" w:themeColor="text1"/>
          <w:sz w:val="32"/>
          <w:szCs w:val="32"/>
          <w:highlight w:val="none"/>
          <w14:textFill>
            <w14:solidFill>
              <w14:schemeClr w14:val="tx1"/>
            </w14:solidFill>
          </w14:textFill>
        </w:rPr>
        <w:t>区人民政府行政补偿</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案件</w:t>
      </w:r>
      <w:r>
        <w:rPr>
          <w:rFonts w:hint="eastAsia" w:ascii="仿宋" w:hAnsi="仿宋" w:eastAsia="仿宋" w:cs="仿宋"/>
          <w:b w:val="0"/>
          <w:bCs w:val="0"/>
          <w:color w:val="000000" w:themeColor="text1"/>
          <w:sz w:val="32"/>
          <w:szCs w:val="32"/>
          <w:highlight w:val="none"/>
          <w14:textFill>
            <w14:solidFill>
              <w14:schemeClr w14:val="tx1"/>
            </w14:solidFill>
          </w14:textFill>
        </w:rPr>
        <w:t>代理词</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作者：河南瀛豫律师事务所  孙晓飞 陈盼盼</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2.《XX小区XX户业主诉XX市城乡建设局撤销消防验收意见及规范性文件审查案件代理词》</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作者：金博大律师事务所  刘德宇</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非诉类（1篇）</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14:textFill>
            <w14:solidFill>
              <w14:schemeClr w14:val="tx1"/>
            </w14:solidFill>
          </w14:textFill>
        </w:rPr>
        <w:t>关于X</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X</w:t>
      </w:r>
      <w:r>
        <w:rPr>
          <w:rFonts w:hint="eastAsia" w:ascii="仿宋" w:hAnsi="仿宋" w:eastAsia="仿宋" w:cs="仿宋"/>
          <w:b w:val="0"/>
          <w:bCs w:val="0"/>
          <w:color w:val="000000" w:themeColor="text1"/>
          <w:sz w:val="32"/>
          <w:szCs w:val="32"/>
          <w:highlight w:val="none"/>
          <w14:textFill>
            <w14:solidFill>
              <w14:schemeClr w14:val="tx1"/>
            </w14:solidFill>
          </w14:textFill>
        </w:rPr>
        <w:t>公司尽职调查报告</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作者：北京大成(郑州)律师事务所  赵静 杨贺飞 郑舒文</w:t>
      </w:r>
    </w:p>
    <w:p>
      <w:pPr>
        <w:keepNext w:val="0"/>
        <w:keepLines w:val="0"/>
        <w:pageBreakBefore w:val="0"/>
        <w:kinsoku/>
        <w:wordWrap/>
        <w:overflowPunct/>
        <w:topLinePunct w:val="0"/>
        <w:autoSpaceDE/>
        <w:autoSpaceDN/>
        <w:bidi w:val="0"/>
        <w:adjustRightInd/>
        <w:snapToGrid/>
        <w:spacing w:line="360" w:lineRule="auto"/>
        <w:ind w:firstLine="643" w:firstLineChars="200"/>
        <w:jc w:val="left"/>
        <w:rPr>
          <w:rFonts w:hint="eastAsia" w:ascii="华文楷体" w:hAnsi="华文楷体" w:eastAsia="华文楷体" w:cs="华文楷体"/>
          <w:b/>
          <w:bCs/>
          <w:color w:val="000000" w:themeColor="text1"/>
          <w:sz w:val="32"/>
          <w:szCs w:val="32"/>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三等奖（25篇）</w:t>
      </w:r>
    </w:p>
    <w:p>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刑事类（8篇）</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1.《曾XX涉嫌帮助信息网络犯罪辩护词》</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作者：金博大律师事务所</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 xml:space="preserve"> 张昊 谭猛</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2.《谷XX涉嫌交通肇事罪案件辩护词》</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作者：上海市海华永泰（郑州）律师事务所  刘泽华</w:t>
      </w:r>
    </w:p>
    <w:p>
      <w:pPr>
        <w:keepNext w:val="0"/>
        <w:keepLines w:val="0"/>
        <w:pageBreakBefore w:val="0"/>
        <w:kinsoku/>
        <w:wordWrap/>
        <w:overflowPunct/>
        <w:topLinePunct w:val="0"/>
        <w:autoSpaceDE/>
        <w:autoSpaceDN/>
        <w:bidi w:val="0"/>
        <w:adjustRightInd/>
        <w:snapToGrid/>
        <w:spacing w:line="360" w:lineRule="auto"/>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陈鉴</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3.《袁XX不构成过失致人重伤罪辩护词》</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作者：北京市京师（郑州）律师事务所  刘兆庆</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4.《李XX涉嫌组织未成年人违反治安管理罪案件二审阶段辩护词》</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作者：河南言一律师事务所  岳高杰</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5.《童XX涉嫌故意杀人罪案件附带民事诉讼法律意见》</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作者：上海锦天城（郑州）律师事务所  丁光银 姚志峰</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6.《关于林XX涉嫌故意伤害罪案件的法律意见书</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作者：河南铭高律师事务所  刘孟梦</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7.《关于请求对涉嫌妨害药品管理罪案件犯罪嫌疑人陈XX作出不起诉决定的法律意见书》</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作者：北京中银（郑州）律师事务所  易楠楠 赵世葳（实习）</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8.《上诉人蒋XX涉嫌非法吸收公众存款罪辩护词》</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作者：河南国基律师事务所  付钦斌</w:t>
      </w:r>
    </w:p>
    <w:p>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民商类（12篇）</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1.《中原XX（北京）资产管理有限公司（以下简称XX公司）与郑某强、郭某山、陈某申、第三人河南省XX实业开发有限公司追加、变更被执行人异议之诉代理词》</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作者：北京市盈科（郑州）律师事务所</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王志敏</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2.《申XX与XX国际、周XX、彭XX、周XX、XX实业、XX股权转让纠纷一案股权转让纠纷代理词》</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作者：河南中砥律师事务所</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 xml:space="preserve"> 张宾 杜雪露</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3.《XX农村商业银行与XX公司执行异议之诉案件再审代理词》</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作者：河南金色世纪律师事务所  张凌燕</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4.《吴XX、李XX、嘉兴XX合伙企业与李XX等执行异议之诉案件再审代理词》</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作者：河南韬涵律师事务所  苏昂</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5.《XX集团健康产品有限公司诉XX贸易有限公司等商标侵权纠纷案一审代理词》</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作者：河南英基律师事务所  郭雪杰</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6.《汪XX诉武汉XX置业有限公司房屋买卖合同纠纷案件再审代理词》</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作者：河南正臻律师事务所  李永强</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7.《河南XX房地产开发有限公司与中国XX财产保险股份有限公司河南分公司、苏XX因申请财产保全损害责任纠纷案件再审代理词》</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作者：上海锦天城（郑州）律师事务所  史俊涛</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8.《A公司与B公司、C集团有限公司建设工程施工合同纠纷代理词》</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作者：上海中联（郑州）律师事务所  安德波 崔汉伟 王淑玉</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9.《宋XX与河南XX汽车销售服务有限公司租赁合同纠纷代理词》</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作者：泰和泰（郑州）律师事务所</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 xml:space="preserve">  王飞 门园园</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10.《XX银行股份有限公司郑州分行执行复议代理词》</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作者：河南博云天律师事务所  刘鹏群 李艳阳</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11.《XX与XX城市管理局、XX退役军人事务局、XX科发印务有限公司、申XX生命权、身体权、健康权纠纷代理词》</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作者：北京德恒(郑州)律师事务所</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麻彦彬</w:t>
      </w:r>
    </w:p>
    <w:p>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行政类（3篇）</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XX</w:t>
      </w:r>
      <w:r>
        <w:rPr>
          <w:rFonts w:hint="eastAsia" w:ascii="仿宋" w:hAnsi="仿宋" w:eastAsia="仿宋" w:cs="仿宋"/>
          <w:b w:val="0"/>
          <w:bCs w:val="0"/>
          <w:color w:val="000000" w:themeColor="text1"/>
          <w:sz w:val="32"/>
          <w:szCs w:val="32"/>
          <w:highlight w:val="none"/>
          <w14:textFill>
            <w14:solidFill>
              <w14:schemeClr w14:val="tx1"/>
            </w14:solidFill>
          </w14:textFill>
        </w:rPr>
        <w:t>县住房和城乡建设局与</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XX</w:t>
      </w:r>
      <w:r>
        <w:rPr>
          <w:rFonts w:hint="eastAsia" w:ascii="仿宋" w:hAnsi="仿宋" w:eastAsia="仿宋" w:cs="仿宋"/>
          <w:b w:val="0"/>
          <w:bCs w:val="0"/>
          <w:color w:val="000000" w:themeColor="text1"/>
          <w:sz w:val="32"/>
          <w:szCs w:val="32"/>
          <w:highlight w:val="none"/>
          <w14:textFill>
            <w14:solidFill>
              <w14:schemeClr w14:val="tx1"/>
            </w14:solidFill>
          </w14:textFill>
        </w:rPr>
        <w:t>燃气实业(深圳)有限公司行政协议纠纷代理词</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作者：河南德问行律师事务所  李新颖 翟秀红</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2.《XX公司与XX</w:t>
      </w:r>
      <w:r>
        <w:rPr>
          <w:rFonts w:hint="eastAsia" w:ascii="仿宋" w:hAnsi="仿宋" w:eastAsia="仿宋" w:cs="仿宋"/>
          <w:b w:val="0"/>
          <w:bCs w:val="0"/>
          <w:color w:val="000000" w:themeColor="text1"/>
          <w:sz w:val="32"/>
          <w:szCs w:val="32"/>
          <w:highlight w:val="none"/>
          <w14:textFill>
            <w14:solidFill>
              <w14:schemeClr w14:val="tx1"/>
            </w14:solidFill>
          </w14:textFill>
        </w:rPr>
        <w:t>黄委会、</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XX</w:t>
      </w:r>
      <w:r>
        <w:rPr>
          <w:rFonts w:hint="eastAsia" w:ascii="仿宋" w:hAnsi="仿宋" w:eastAsia="仿宋" w:cs="仿宋"/>
          <w:b w:val="0"/>
          <w:bCs w:val="0"/>
          <w:color w:val="000000" w:themeColor="text1"/>
          <w:sz w:val="32"/>
          <w:szCs w:val="32"/>
          <w:highlight w:val="none"/>
          <w14:textFill>
            <w14:solidFill>
              <w14:schemeClr w14:val="tx1"/>
            </w14:solidFill>
          </w14:textFill>
        </w:rPr>
        <w:t>黄河河务局</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行政处罚纠纷案</w:t>
      </w:r>
      <w:r>
        <w:rPr>
          <w:rFonts w:hint="eastAsia" w:ascii="仿宋" w:hAnsi="仿宋" w:eastAsia="仿宋" w:cs="仿宋"/>
          <w:b w:val="0"/>
          <w:bCs w:val="0"/>
          <w:color w:val="000000" w:themeColor="text1"/>
          <w:sz w:val="32"/>
          <w:szCs w:val="32"/>
          <w:highlight w:val="none"/>
          <w14:textFill>
            <w14:solidFill>
              <w14:schemeClr w14:val="tx1"/>
            </w14:solidFill>
          </w14:textFill>
        </w:rPr>
        <w:t>代理词</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w:t>
      </w:r>
      <w:r>
        <w:rPr>
          <w:rFonts w:hint="eastAsia" w:ascii="华文楷体" w:hAnsi="华文楷体" w:eastAsia="华文楷体" w:cs="华文楷体"/>
          <w:b w:val="0"/>
          <w:bCs w:val="0"/>
          <w:color w:val="000000" w:themeColor="text1"/>
          <w:sz w:val="32"/>
          <w:szCs w:val="32"/>
          <w:highlight w:val="none"/>
          <w14:textFill>
            <w14:solidFill>
              <w14:schemeClr w14:val="tx1"/>
            </w14:solidFill>
          </w14:textFill>
        </w:rPr>
        <w:t>河南经东律师事务所</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 xml:space="preserve">  </w:t>
      </w:r>
      <w:r>
        <w:rPr>
          <w:rFonts w:hint="eastAsia" w:ascii="华文楷体" w:hAnsi="华文楷体" w:eastAsia="华文楷体" w:cs="华文楷体"/>
          <w:b w:val="0"/>
          <w:bCs w:val="0"/>
          <w:color w:val="000000" w:themeColor="text1"/>
          <w:sz w:val="32"/>
          <w:szCs w:val="32"/>
          <w:highlight w:val="none"/>
          <w14:textFill>
            <w14:solidFill>
              <w14:schemeClr w14:val="tx1"/>
            </w14:solidFill>
          </w14:textFill>
        </w:rPr>
        <w:t>成永</w:t>
      </w:r>
      <w:r>
        <w:rPr>
          <w:rFonts w:hint="eastAsia" w:ascii="华文楷体" w:hAnsi="华文楷体" w:eastAsia="华文楷体" w:cs="华文楷体"/>
          <w:b w:val="0"/>
          <w:bCs w:val="0"/>
          <w:color w:val="000000" w:themeColor="text1"/>
          <w:sz w:val="32"/>
          <w:szCs w:val="32"/>
          <w:highlight w:val="none"/>
          <w14:textFill>
            <w14:solidFill>
              <w14:schemeClr w14:val="tx1"/>
            </w14:solidFill>
          </w14:textFill>
        </w:rPr>
        <w:tab/>
      </w:r>
      <w:r>
        <w:rPr>
          <w:rFonts w:hint="eastAsia" w:ascii="华文楷体" w:hAnsi="华文楷体" w:eastAsia="华文楷体" w:cs="华文楷体"/>
          <w:b w:val="0"/>
          <w:bCs w:val="0"/>
          <w:color w:val="000000" w:themeColor="text1"/>
          <w:sz w:val="32"/>
          <w:szCs w:val="32"/>
          <w:highlight w:val="none"/>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XX</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学校与</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XX</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政府行政赔偿纠纷</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代理词</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作者：河南梧熙律师事务所  李乐云</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非诉类（2篇）</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1. </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XX</w:t>
      </w:r>
      <w:r>
        <w:rPr>
          <w:rFonts w:hint="eastAsia" w:ascii="仿宋" w:hAnsi="仿宋" w:eastAsia="仿宋" w:cs="仿宋"/>
          <w:b w:val="0"/>
          <w:bCs w:val="0"/>
          <w:color w:val="000000" w:themeColor="text1"/>
          <w:sz w:val="32"/>
          <w:szCs w:val="32"/>
          <w:highlight w:val="none"/>
          <w14:textFill>
            <w14:solidFill>
              <w14:schemeClr w14:val="tx1"/>
            </w14:solidFill>
          </w14:textFill>
        </w:rPr>
        <w:t>公司可转债项目报批法律意见书</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作者：河南仟问律师事务所</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时玉珍</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14:textFill>
            <w14:solidFill>
              <w14:schemeClr w14:val="tx1"/>
            </w14:solidFill>
          </w14:textFill>
        </w:rPr>
        <w:t>关于河南</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XX</w:t>
      </w:r>
      <w:r>
        <w:rPr>
          <w:rFonts w:hint="eastAsia" w:ascii="仿宋" w:hAnsi="仿宋" w:eastAsia="仿宋" w:cs="仿宋"/>
          <w:b w:val="0"/>
          <w:bCs w:val="0"/>
          <w:color w:val="000000" w:themeColor="text1"/>
          <w:sz w:val="32"/>
          <w:szCs w:val="32"/>
          <w:highlight w:val="none"/>
          <w14:textFill>
            <w14:solidFill>
              <w14:schemeClr w14:val="tx1"/>
            </w14:solidFill>
          </w14:textFill>
        </w:rPr>
        <w:t>公司2023年度第一期定向债务融资工具（可持续挂钩）的法律意见书</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作者：河南仟问律师事务所  高华 李孟旸</w:t>
      </w:r>
    </w:p>
    <w:p>
      <w:pPr>
        <w:rPr>
          <w:rFonts w:hint="eastAsia" w:ascii="华文楷体" w:hAnsi="华文楷体" w:eastAsia="华文楷体" w:cs="华文楷体"/>
          <w:b/>
          <w:bCs/>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bCs/>
          <w:color w:val="000000" w:themeColor="text1"/>
          <w:sz w:val="32"/>
          <w:szCs w:val="32"/>
          <w:highlight w:val="none"/>
          <w:lang w:val="en-US" w:eastAsia="zh-CN"/>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附件二：优秀法律论文（40篇）</w:t>
      </w:r>
    </w:p>
    <w:p>
      <w:pPr>
        <w:keepNext w:val="0"/>
        <w:keepLines w:val="0"/>
        <w:pageBreakBefore w:val="0"/>
        <w:kinsoku/>
        <w:wordWrap/>
        <w:overflowPunct/>
        <w:topLinePunct w:val="0"/>
        <w:autoSpaceDE/>
        <w:autoSpaceDN/>
        <w:bidi w:val="0"/>
        <w:adjustRightInd/>
        <w:snapToGrid/>
        <w:spacing w:line="360" w:lineRule="auto"/>
        <w:ind w:firstLine="3534" w:firstLineChars="1100"/>
        <w:jc w:val="both"/>
        <w:rPr>
          <w:rFonts w:hint="eastAsia" w:ascii="宋体" w:hAnsi="宋体" w:eastAsia="宋体" w:cs="宋体"/>
          <w:b/>
          <w:bCs/>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3534" w:firstLineChars="1100"/>
        <w:jc w:val="both"/>
        <w:rPr>
          <w:rFonts w:hint="eastAsia" w:ascii="黑体" w:hAnsi="黑体" w:eastAsia="黑体" w:cs="黑体"/>
          <w:b/>
          <w:bCs/>
          <w:color w:val="000000" w:themeColor="text1"/>
          <w:sz w:val="32"/>
          <w:szCs w:val="32"/>
          <w:highlight w:val="none"/>
          <w:lang w:eastAsia="zh-CN"/>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一等奖</w:t>
      </w:r>
      <w:r>
        <w:rPr>
          <w:rFonts w:hint="eastAsia" w:ascii="黑体" w:hAnsi="黑体" w:eastAsia="黑体" w:cs="黑体"/>
          <w:b/>
          <w:bCs/>
          <w:color w:val="000000" w:themeColor="text1"/>
          <w:sz w:val="32"/>
          <w:szCs w:val="32"/>
          <w:highlight w:val="none"/>
          <w:lang w:eastAsia="zh-CN"/>
          <w14:textFill>
            <w14:solidFill>
              <w14:schemeClr w14:val="tx1"/>
            </w14:solidFill>
          </w14:textFill>
        </w:rPr>
        <w:t>（</w:t>
      </w: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10篇</w:t>
      </w:r>
      <w:r>
        <w:rPr>
          <w:rFonts w:hint="eastAsia" w:ascii="黑体" w:hAnsi="黑体" w:eastAsia="黑体" w:cs="黑体"/>
          <w:b/>
          <w:bCs/>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3534" w:firstLineChars="1100"/>
        <w:jc w:val="both"/>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刑事类（1篇）</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《论“赌博网站代理”的从犯认定——以司法实践分歧为视角》</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作者：上海段和段（郑州）律师事务所  李权民 路涵钰</w:t>
      </w:r>
    </w:p>
    <w:p>
      <w:pPr>
        <w:keepNext w:val="0"/>
        <w:keepLines w:val="0"/>
        <w:pageBreakBefore w:val="0"/>
        <w:kinsoku/>
        <w:wordWrap/>
        <w:overflowPunct/>
        <w:topLinePunct w:val="0"/>
        <w:autoSpaceDE/>
        <w:autoSpaceDN/>
        <w:bidi w:val="0"/>
        <w:adjustRightInd/>
        <w:snapToGrid/>
        <w:spacing w:line="360" w:lineRule="auto"/>
        <w:ind w:firstLine="3213" w:firstLineChars="1000"/>
        <w:jc w:val="left"/>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民商类（7篇）</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1.《一人公司法人人格否认司法实践观察报告》</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作者：北京市天同（郑州）律师事务所  赵剑英 史凯贤赵颖慧 曲金亮 段雨涵 张奕婕 苏海潮</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2.《数字经济中数字法治的变革》</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作者：北京市盈科（郑州）律师事务所  穆伟亮</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3.《夫妻公司类推适用一人公司规则的合理限度研究——基于103例生效裁判文书的实证分析》</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作者：河南天基律师事务所</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韩春阳</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4.《数据产权结构性分置制度下的权利内涵探析》</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作者：北京大成（郑州）律师事务所</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 xml:space="preserve"> 李亮伟 李梦雅</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5.《民营企业参与国有企业混合所有制改革合规重点及风险防范》</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作者：北京观韬中茂（郑州）律师事务所  金洁</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6.《有限公司实际出资人的法律地位及其权益保护》</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作者：北京金诚同达（郑州）律师事务所  河南荟智源策律师事务所</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 xml:space="preserve"> 赵世峰 陈运</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7.《名股实债中的“债”，能否追溯至投入时即为“股”》</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作者：北京德恒（郑州）律师事务所</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 xml:space="preserve"> 陈红岩 刘莹</w:t>
      </w:r>
    </w:p>
    <w:p>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行政类（1篇）</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《将国务院法制办公室及国务院主管部门制发行政执法解释作为准规范性文件司法审查的思考》</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作者：河南钟秀律师事务所</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 xml:space="preserve"> 周岸 王天禹</w:t>
      </w:r>
    </w:p>
    <w:p>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非诉类（1篇）</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华文楷体" w:hAnsi="华文楷体" w:eastAsia="华文楷体" w:cs="华文楷体"/>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《跨国界破产程序承认与救济》</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作者：上海锦天城（郑州）律师事务所  郜珍珍</w:t>
      </w:r>
    </w:p>
    <w:p>
      <w:pPr>
        <w:keepNext w:val="0"/>
        <w:keepLines w:val="0"/>
        <w:pageBreakBefore w:val="0"/>
        <w:kinsoku/>
        <w:wordWrap/>
        <w:overflowPunct/>
        <w:topLinePunct w:val="0"/>
        <w:autoSpaceDE/>
        <w:autoSpaceDN/>
        <w:bidi w:val="0"/>
        <w:adjustRightInd/>
        <w:snapToGrid/>
        <w:spacing w:line="360" w:lineRule="auto"/>
        <w:ind w:firstLine="643" w:firstLineChars="200"/>
        <w:rPr>
          <w:rFonts w:hint="eastAsia" w:ascii="华文楷体" w:hAnsi="华文楷体" w:eastAsia="华文楷体" w:cs="华文楷体"/>
          <w:b/>
          <w:bCs/>
          <w:color w:val="000000" w:themeColor="text1"/>
          <w:sz w:val="32"/>
          <w:szCs w:val="32"/>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二等奖（14篇）</w:t>
      </w:r>
    </w:p>
    <w:p>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刑事类（2篇）</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1.《虚拟货币的法律认知与风险防范》</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作者：北京市盈科（郑州）律师事务所</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陈彦赫</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2.《论教唆、帮助自杀案件中的处罚根据》</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作者：河南辰中律师事务所  李梦翔</w:t>
      </w:r>
    </w:p>
    <w:p>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民商类（9篇）</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1.《建筑企业内部承包项下对外借款责任承担问题探析》</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作者：泰和泰（郑州）律师事务所  陈博</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2.《医药企业人力资源合规之反商业贿赂制度建设》</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作者：北京金诚同达（郑州）律师事务所  李栋</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3.《破产程序中个人保证责任问题解决的初步探究》</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作者：河南仟问律师事务所  任浩</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4.《类案同判中“类案”的认定标准研究》</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作者：河南鼎卿律师事务所  薛少卿 冯静雯</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5.《浅析建设工程价款优先受偿权的法律问题与解决途径》</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作者：河南点石律师事务所  段胜亚</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6.《从破产管理人看遗产管理人》</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作者：河南天基律师事务所</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余苏梦</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7.《舞蹈作品整体表达观下的审视》</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作者：河南美盈律师事务所</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王萌</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8.《新公司法修订对财务负责人的影响》</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作者：北京炜衡（郑州）律师事务所  董辉 康向猛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9.《问题楼盘化解处置的实践与思考》</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作者：河南文丰律师事务所  张劼</w:t>
      </w:r>
    </w:p>
    <w:p>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行政类（1篇）</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《预防性环境行政公益诉讼的困境及出路——构建以诉前磋商为主的二元监督模式》</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作者：河南天基律师事务所  刘海娇</w:t>
      </w:r>
    </w:p>
    <w:p>
      <w:pPr>
        <w:keepNext w:val="0"/>
        <w:keepLines w:val="0"/>
        <w:pageBreakBefore w:val="0"/>
        <w:kinsoku/>
        <w:wordWrap/>
        <w:overflowPunct/>
        <w:topLinePunct w:val="0"/>
        <w:autoSpaceDE/>
        <w:autoSpaceDN/>
        <w:bidi w:val="0"/>
        <w:adjustRightInd/>
        <w:snapToGrid/>
        <w:spacing w:line="360" w:lineRule="auto"/>
        <w:ind w:firstLine="643" w:firstLineChars="200"/>
        <w:jc w:val="center"/>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非诉类（2篇）</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1.《关于“国家出资公司”的立法思考》</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作者：河南文丰律师事务所  王登巍</w:t>
      </w: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2.《关联企业合并破产的立法考量——从债权人利益保护角度》</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作者：北京大成（郑州）律师事务所  李哲 王家树</w:t>
      </w:r>
    </w:p>
    <w:p>
      <w:pPr>
        <w:keepNext w:val="0"/>
        <w:keepLines w:val="0"/>
        <w:pageBreakBefore w:val="0"/>
        <w:kinsoku/>
        <w:wordWrap/>
        <w:overflowPunct/>
        <w:topLinePunct w:val="0"/>
        <w:autoSpaceDE/>
        <w:autoSpaceDN/>
        <w:bidi w:val="0"/>
        <w:adjustRightInd/>
        <w:snapToGrid/>
        <w:spacing w:line="360" w:lineRule="auto"/>
        <w:ind w:firstLine="643" w:firstLineChars="200"/>
        <w:rPr>
          <w:rFonts w:hint="eastAsia" w:ascii="华文楷体" w:hAnsi="华文楷体" w:eastAsia="华文楷体" w:cs="华文楷体"/>
          <w:b/>
          <w:bCs/>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三等奖（16篇）</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刑事类（2篇）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1.刑民交叉视域下“套路贷”案件认定的实践困境及解决》</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bCs/>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作者：河南鼎卿律师事务所  薛少卿 冯静雯</w:t>
      </w:r>
      <w:r>
        <w:rPr>
          <w:rFonts w:hint="eastAsia" w:ascii="华文楷体" w:hAnsi="华文楷体" w:eastAsia="华文楷体" w:cs="华文楷体"/>
          <w:b/>
          <w:bCs/>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2.《论聚众扰乱社会秩序罪中“造成严重损失”的认定》</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作者：河南林起律师事务所</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 xml:space="preserve"> 姜拴胜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民商类（11篇）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1.《房企破产重整计划的特殊性安排》</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作者：河南文丰律师事务所  李冲</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2.《股权代持纠纷简析》</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作者：河南郑港律师事务所</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 xml:space="preserve"> 陈天鹏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3.《浅论业主知情权之诉》</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作者：河南亚太人律师事务所  刘建国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4.《浅析信托受托人的外部责任》</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作者：北京观韬中茂（郑州）律师事务所  马亮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5.《以案论地产信托“明股实债”模式下的司法认定及风险防范》</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作者：河南仟问律师事务所  周俊南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6.《建设工程施工合同纠纷中的税金及发票争议处理》</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作者：北京市京师（郑州）律师事务所  李振东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7.《不良资产处置之夫妻债务问题探析》</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作者：河南金色世纪律师事务所  王晓亮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8.《离婚房产权属约定排除强制执行的效力分析》</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作者：北京市中创（郑州）律师事务所  王玉博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9.《商业特许经营模式法律风险与防范》</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作者：北京市京师（郑州）律师事务所  王红菊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10、《从一起商品房买卖合同纠纷案分析开发商办证义务的界限》</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作者：金博大律师事务所  孙凯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11.《依法治企与以德治企在企业合规建设中的具体运用》</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作者：荥阳市司法局公职律师  王超</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行政类（1篇）</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《未取得许可证是否属于未取得行政许可》</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ab/>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作者：北京大成（郑州）律师事务所</w:t>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ab/>
      </w: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 xml:space="preserve"> 穆莹莹</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非诉类（2篇）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1.《债权人会议表决规则再认识——以金融债权“表决难”为视角》</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作者：北京大成（郑州）律师事务所  徐元永 韩非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2.《问题楼盘企业重整价值实质审查机制的探究》</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楷体" w:hAnsi="华文楷体" w:eastAsia="华文楷体" w:cs="华文楷体"/>
          <w:b/>
          <w:bCs/>
          <w:color w:val="000000" w:themeColor="text1"/>
          <w:sz w:val="32"/>
          <w:szCs w:val="32"/>
          <w:highlight w:val="none"/>
          <w:lang w:val="en-US" w:eastAsia="zh-CN"/>
          <w14:textFill>
            <w14:solidFill>
              <w14:schemeClr w14:val="tx1"/>
            </w14:solidFill>
          </w14:textFill>
        </w:rPr>
      </w:pPr>
      <w:r>
        <w:rPr>
          <w:rFonts w:hint="eastAsia" w:ascii="华文楷体" w:hAnsi="华文楷体" w:eastAsia="华文楷体" w:cs="华文楷体"/>
          <w:b w:val="0"/>
          <w:bCs w:val="0"/>
          <w:color w:val="000000" w:themeColor="text1"/>
          <w:sz w:val="32"/>
          <w:szCs w:val="32"/>
          <w:highlight w:val="none"/>
          <w:lang w:val="en-US" w:eastAsia="zh-CN"/>
          <w14:textFill>
            <w14:solidFill>
              <w14:schemeClr w14:val="tx1"/>
            </w14:solidFill>
          </w14:textFill>
        </w:rPr>
        <w:t>作者：上海汇业（郑州）律师事务所  贾珍妮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sectPr>
      <w:pgSz w:w="11906" w:h="16838"/>
      <w:pgMar w:top="1327" w:right="1576" w:bottom="1327"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MDQyNmQ4MmE3ZGY5NThmNzVhOWQwYTEyYTQ5NmYifQ=="/>
  </w:docVars>
  <w:rsids>
    <w:rsidRoot w:val="00000000"/>
    <w:rsid w:val="0009075B"/>
    <w:rsid w:val="029D7DDE"/>
    <w:rsid w:val="06BF0B7B"/>
    <w:rsid w:val="070103DE"/>
    <w:rsid w:val="097862A6"/>
    <w:rsid w:val="09FE6E56"/>
    <w:rsid w:val="0B835865"/>
    <w:rsid w:val="0BAB6B6A"/>
    <w:rsid w:val="0F54754C"/>
    <w:rsid w:val="10ED3781"/>
    <w:rsid w:val="11346C21"/>
    <w:rsid w:val="11381354"/>
    <w:rsid w:val="13294F44"/>
    <w:rsid w:val="13914897"/>
    <w:rsid w:val="14BB6147"/>
    <w:rsid w:val="161B48EC"/>
    <w:rsid w:val="167A1613"/>
    <w:rsid w:val="16BD20F3"/>
    <w:rsid w:val="16CD7F2A"/>
    <w:rsid w:val="16DE6045"/>
    <w:rsid w:val="1ACB4B33"/>
    <w:rsid w:val="1B1C0EEA"/>
    <w:rsid w:val="20C81759"/>
    <w:rsid w:val="20DD1A1B"/>
    <w:rsid w:val="25EB7E37"/>
    <w:rsid w:val="273852FE"/>
    <w:rsid w:val="29EB2AFB"/>
    <w:rsid w:val="2CC15D95"/>
    <w:rsid w:val="2D0830A9"/>
    <w:rsid w:val="2DD96CEA"/>
    <w:rsid w:val="2E8B665B"/>
    <w:rsid w:val="305D5602"/>
    <w:rsid w:val="31117453"/>
    <w:rsid w:val="344B3A5D"/>
    <w:rsid w:val="349B511E"/>
    <w:rsid w:val="353A1065"/>
    <w:rsid w:val="36CA3A99"/>
    <w:rsid w:val="399D4D1C"/>
    <w:rsid w:val="3B9B4B2F"/>
    <w:rsid w:val="3C735944"/>
    <w:rsid w:val="3DCC627A"/>
    <w:rsid w:val="3F273ECB"/>
    <w:rsid w:val="40516596"/>
    <w:rsid w:val="41744D2D"/>
    <w:rsid w:val="419655A8"/>
    <w:rsid w:val="474B29D4"/>
    <w:rsid w:val="47B5612D"/>
    <w:rsid w:val="4A0D3BDA"/>
    <w:rsid w:val="4B893ACB"/>
    <w:rsid w:val="4D8C33FE"/>
    <w:rsid w:val="4F9C19A5"/>
    <w:rsid w:val="50DB26D2"/>
    <w:rsid w:val="580B5F93"/>
    <w:rsid w:val="5CDB08DF"/>
    <w:rsid w:val="5D331106"/>
    <w:rsid w:val="5DCD2B84"/>
    <w:rsid w:val="61032FB1"/>
    <w:rsid w:val="628420FC"/>
    <w:rsid w:val="631321A0"/>
    <w:rsid w:val="633F4D43"/>
    <w:rsid w:val="65A25A5D"/>
    <w:rsid w:val="665A513C"/>
    <w:rsid w:val="682E35D8"/>
    <w:rsid w:val="6C4E5FF7"/>
    <w:rsid w:val="6CAB169B"/>
    <w:rsid w:val="6EAC0D42"/>
    <w:rsid w:val="701F03D6"/>
    <w:rsid w:val="738B7B30"/>
    <w:rsid w:val="73AA6208"/>
    <w:rsid w:val="74EE65C9"/>
    <w:rsid w:val="75242C1A"/>
    <w:rsid w:val="75E25F73"/>
    <w:rsid w:val="77A17922"/>
    <w:rsid w:val="7B1041D5"/>
    <w:rsid w:val="7C030BAC"/>
    <w:rsid w:val="7EEF3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2024-03-05T02:05:00Z</dcterms:created>
  <dc:creator>Administrator</dc:creator>
  <cp:lastModifiedBy>周小点</cp:lastModifiedBy>
  <cp:lastPrinted>2024-03-11T07:24:00Z</cp:lastPrinted>
  <dcterms:modified xsi:type="dcterms:W3CDTF">2024-03-11T07:54:44Z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265EC7A9689E4E94A131848D98F19E36_13</vt:lpwstr>
  </property>
</Properties>
</file>